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493" w:type="dxa"/>
        <w:tblInd w:w="0" w:type="dxa"/>
        <w:tblLayout w:type="fixed"/>
        <w:tblCellMar>
          <w:top w:w="0" w:type="dxa"/>
          <w:left w:w="108" w:type="dxa"/>
          <w:bottom w:w="0" w:type="dxa"/>
          <w:right w:w="108" w:type="dxa"/>
        </w:tblCellMar>
      </w:tblPr>
      <w:tblGrid>
        <w:gridCol w:w="588"/>
        <w:gridCol w:w="980"/>
        <w:gridCol w:w="1112"/>
        <w:gridCol w:w="730"/>
        <w:gridCol w:w="1134"/>
        <w:gridCol w:w="416"/>
        <w:gridCol w:w="948"/>
        <w:gridCol w:w="780"/>
        <w:gridCol w:w="272"/>
        <w:gridCol w:w="253"/>
        <w:gridCol w:w="578"/>
        <w:gridCol w:w="729"/>
        <w:gridCol w:w="973"/>
      </w:tblGrid>
      <w:tr>
        <w:tblPrEx>
          <w:tblCellMar>
            <w:top w:w="0" w:type="dxa"/>
            <w:left w:w="108" w:type="dxa"/>
            <w:bottom w:w="0" w:type="dxa"/>
            <w:right w:w="108" w:type="dxa"/>
          </w:tblCellMar>
        </w:tblPrEx>
        <w:trPr>
          <w:trHeight w:val="454" w:hRule="exact"/>
        </w:trPr>
        <w:tc>
          <w:tcPr>
            <w:tcW w:w="9493" w:type="dxa"/>
            <w:gridSpan w:val="13"/>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lang w:val="en-US" w:eastAsia="zh-CN"/>
              </w:rPr>
              <w:t>新疆巴州和静县审计局</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trPr>
        <w:tc>
          <w:tcPr>
            <w:tcW w:w="9493" w:type="dxa"/>
            <w:gridSpan w:val="13"/>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（2019年度）</w:t>
            </w:r>
          </w:p>
        </w:tc>
      </w:tr>
      <w:tr>
        <w:tblPrEx>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925"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_GoBack"/>
            <w:r>
              <w:rPr>
                <w:rFonts w:hint="eastAsia" w:ascii="宋体" w:hAnsi="宋体" w:eastAsia="宋体" w:cs="宋体"/>
                <w:kern w:val="0"/>
                <w:sz w:val="18"/>
                <w:szCs w:val="18"/>
              </w:rPr>
              <w:t>审计局2016至2018年政府投资项目审计费用</w:t>
            </w:r>
            <w:bookmarkEnd w:id="0"/>
            <w:r>
              <w:rPr>
                <w:rFonts w:hint="eastAsia" w:ascii="宋体" w:hAnsi="宋体" w:eastAsia="宋体" w:cs="宋体"/>
                <w:kern w:val="0"/>
                <w:sz w:val="18"/>
                <w:szCs w:val="18"/>
              </w:rPr>
              <w:t>(2019年第3次财经会)</w:t>
            </w:r>
          </w:p>
        </w:tc>
      </w:tr>
      <w:tr>
        <w:tblPrEx>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34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和静县审计局</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533" w:type="dxa"/>
            <w:gridSpan w:val="4"/>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和静县审计局</w:t>
            </w:r>
          </w:p>
        </w:tc>
      </w:tr>
      <w:tr>
        <w:tblPrEx>
          <w:tblCellMar>
            <w:top w:w="0" w:type="dxa"/>
            <w:left w:w="108" w:type="dxa"/>
            <w:bottom w:w="0" w:type="dxa"/>
            <w:right w:w="108" w:type="dxa"/>
          </w:tblCellMar>
        </w:tblPrEx>
        <w:trPr>
          <w:trHeight w:val="470" w:hRule="exact"/>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3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83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72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97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364" w:type="dxa"/>
            <w:gridSpan w:val="2"/>
            <w:tcBorders>
              <w:top w:val="nil"/>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ascii="宋体" w:hAnsi="宋体" w:cs="宋体"/>
                <w:bCs/>
                <w:kern w:val="0"/>
                <w:sz w:val="20"/>
                <w:szCs w:val="20"/>
              </w:rPr>
              <w:t>127.68</w:t>
            </w:r>
          </w:p>
        </w:tc>
        <w:tc>
          <w:tcPr>
            <w:tcW w:w="1052" w:type="dxa"/>
            <w:gridSpan w:val="2"/>
            <w:tcBorders>
              <w:top w:val="nil"/>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ascii="宋体" w:hAnsi="宋体" w:cs="宋体"/>
                <w:bCs/>
                <w:kern w:val="0"/>
                <w:sz w:val="20"/>
                <w:szCs w:val="20"/>
              </w:rPr>
              <w:t>127.68</w:t>
            </w:r>
          </w:p>
        </w:tc>
        <w:tc>
          <w:tcPr>
            <w:tcW w:w="83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729" w:type="dxa"/>
            <w:tcBorders>
              <w:top w:val="single" w:color="auto" w:sz="4" w:space="0"/>
              <w:left w:val="nil"/>
              <w:bottom w:val="single" w:color="auto" w:sz="4" w:space="0"/>
              <w:right w:val="single" w:color="auto" w:sz="4" w:space="0"/>
            </w:tcBorders>
            <w:vAlign w:val="center"/>
          </w:tcPr>
          <w:p>
            <w:pPr>
              <w:widowControl/>
              <w:tabs>
                <w:tab w:val="center" w:pos="377"/>
                <w:tab w:val="left" w:pos="600"/>
              </w:tabs>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ab/>
            </w:r>
            <w:r>
              <w:rPr>
                <w:rFonts w:hint="eastAsia" w:ascii="宋体" w:hAnsi="宋体" w:eastAsia="宋体" w:cs="宋体"/>
                <w:kern w:val="0"/>
                <w:sz w:val="18"/>
                <w:szCs w:val="18"/>
                <w:lang w:val="en-US" w:eastAsia="zh-CN"/>
              </w:rPr>
              <w:t>100%</w:t>
            </w:r>
            <w:r>
              <w:rPr>
                <w:rFonts w:hint="eastAsia" w:ascii="宋体" w:hAnsi="宋体" w:eastAsia="宋体" w:cs="宋体"/>
                <w:kern w:val="0"/>
                <w:sz w:val="18"/>
                <w:szCs w:val="18"/>
                <w:lang w:val="en-US" w:eastAsia="zh-CN"/>
              </w:rPr>
              <w:tab/>
            </w:r>
            <w:r>
              <w:rPr>
                <w:rFonts w:hint="eastAsia" w:ascii="宋体" w:hAnsi="宋体" w:eastAsia="宋体" w:cs="宋体"/>
                <w:kern w:val="0"/>
                <w:sz w:val="18"/>
                <w:szCs w:val="18"/>
                <w:lang w:val="en-US" w:eastAsia="zh-CN"/>
              </w:rPr>
              <w:t>%</w:t>
            </w:r>
          </w:p>
        </w:tc>
        <w:tc>
          <w:tcPr>
            <w:tcW w:w="97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364" w:type="dxa"/>
            <w:gridSpan w:val="2"/>
            <w:tcBorders>
              <w:top w:val="nil"/>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ascii="宋体" w:hAnsi="宋体" w:cs="宋体"/>
                <w:bCs/>
                <w:kern w:val="0"/>
                <w:sz w:val="20"/>
                <w:szCs w:val="20"/>
              </w:rPr>
              <w:t>127.68</w:t>
            </w:r>
          </w:p>
        </w:tc>
        <w:tc>
          <w:tcPr>
            <w:tcW w:w="1052" w:type="dxa"/>
            <w:gridSpan w:val="2"/>
            <w:tcBorders>
              <w:top w:val="nil"/>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ascii="宋体" w:hAnsi="宋体" w:cs="宋体"/>
                <w:bCs/>
                <w:kern w:val="0"/>
                <w:sz w:val="20"/>
                <w:szCs w:val="20"/>
              </w:rPr>
              <w:t>127.68</w:t>
            </w:r>
          </w:p>
        </w:tc>
        <w:tc>
          <w:tcPr>
            <w:tcW w:w="83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72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97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p>
        </w:tc>
        <w:tc>
          <w:tcPr>
            <w:tcW w:w="136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83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0</w:t>
            </w:r>
          </w:p>
        </w:tc>
        <w:tc>
          <w:tcPr>
            <w:tcW w:w="72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97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r>
      <w:tr>
        <w:tblPrEx>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0</w:t>
            </w:r>
          </w:p>
        </w:tc>
        <w:tc>
          <w:tcPr>
            <w:tcW w:w="136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105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83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0</w:t>
            </w:r>
          </w:p>
        </w:tc>
        <w:tc>
          <w:tcPr>
            <w:tcW w:w="72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97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r>
      <w:tr>
        <w:tblPrEx>
          <w:tblCellMar>
            <w:top w:w="0" w:type="dxa"/>
            <w:left w:w="108" w:type="dxa"/>
            <w:bottom w:w="0" w:type="dxa"/>
            <w:right w:w="108" w:type="dxa"/>
          </w:tblCellMar>
        </w:tblPrEx>
        <w:trPr>
          <w:trHeight w:val="300" w:hRule="exact"/>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32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58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085" w:hRule="exact"/>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20" w:type="dxa"/>
            <w:gridSpan w:val="6"/>
            <w:tcBorders>
              <w:top w:val="single" w:color="auto" w:sz="4" w:space="0"/>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固定资产投资审计。认真贯彻《新疆维吾尔自治区国家建设项目审计管理条例》、《巴音郭楞蒙古自治州政府投资建设项目审计办法》，强化政府投资建设项目审计监督，积极完成上级审计机关统一组织安排的、县人民政府委托的投资审计项目。</w:t>
            </w:r>
          </w:p>
        </w:tc>
        <w:tc>
          <w:tcPr>
            <w:tcW w:w="3585" w:type="dxa"/>
            <w:gridSpan w:val="6"/>
            <w:tcBorders>
              <w:top w:val="single" w:color="auto" w:sz="4" w:space="0"/>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2019年，和静县审计局申报项目125个，报审价289268914.15元，审核价254671293.85元，审减额34597620.5元，核减率13.59%。</w:t>
            </w:r>
          </w:p>
        </w:tc>
      </w:tr>
      <w:tr>
        <w:tblPrEx>
          <w:tblCellMar>
            <w:top w:w="0" w:type="dxa"/>
            <w:left w:w="108" w:type="dxa"/>
            <w:bottom w:w="0" w:type="dxa"/>
            <w:right w:w="108" w:type="dxa"/>
          </w:tblCellMar>
        </w:tblPrEx>
        <w:trPr>
          <w:trHeight w:val="533" w:hRule="exact"/>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614"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指标1：项目支出中基建投资项目数量</w:t>
            </w:r>
          </w:p>
        </w:tc>
        <w:tc>
          <w:tcPr>
            <w:tcW w:w="9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125</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6.2</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按照政府安排追加项目数量</w:t>
            </w:r>
          </w:p>
        </w:tc>
      </w:tr>
      <w:tr>
        <w:tblPrEx>
          <w:tblCellMar>
            <w:top w:w="0" w:type="dxa"/>
            <w:left w:w="108" w:type="dxa"/>
            <w:bottom w:w="0" w:type="dxa"/>
            <w:right w:w="108" w:type="dxa"/>
          </w:tblCellMar>
        </w:tblPrEx>
        <w:trPr>
          <w:trHeight w:val="549"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指标2：项目支出中委托审计出具报告</w:t>
            </w:r>
          </w:p>
        </w:tc>
        <w:tc>
          <w:tcPr>
            <w:tcW w:w="9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90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125</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6.2</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按照政府安排追加项目数量</w:t>
            </w: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sz w:val="18"/>
                <w:szCs w:val="18"/>
              </w:rPr>
              <w:t>问题整改率（%）</w:t>
            </w:r>
          </w:p>
        </w:tc>
        <w:tc>
          <w:tcPr>
            <w:tcW w:w="9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95%-100%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703"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指标1：起止时间</w:t>
            </w:r>
          </w:p>
        </w:tc>
        <w:tc>
          <w:tcPr>
            <w:tcW w:w="9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2019.1.1至12.31</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71"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指标1：审计费用减免支付</w:t>
            </w:r>
          </w:p>
        </w:tc>
        <w:tc>
          <w:tcPr>
            <w:tcW w:w="948" w:type="dxa"/>
            <w:tcBorders>
              <w:top w:val="nil"/>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hint="eastAsia" w:ascii="宋体" w:hAnsi="宋体" w:cs="宋体"/>
                <w:kern w:val="0"/>
                <w:sz w:val="20"/>
                <w:szCs w:val="20"/>
              </w:rPr>
              <w:t>八折支付</w:t>
            </w:r>
          </w:p>
        </w:tc>
        <w:tc>
          <w:tcPr>
            <w:tcW w:w="780" w:type="dxa"/>
            <w:tcBorders>
              <w:top w:val="nil"/>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4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指标1：审减额</w:t>
            </w:r>
          </w:p>
        </w:tc>
        <w:tc>
          <w:tcPr>
            <w:tcW w:w="948" w:type="dxa"/>
            <w:tcBorders>
              <w:top w:val="nil"/>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p>
        </w:tc>
        <w:tc>
          <w:tcPr>
            <w:tcW w:w="780" w:type="dxa"/>
            <w:tcBorders>
              <w:top w:val="nil"/>
              <w:left w:val="nil"/>
              <w:bottom w:val="single" w:color="auto" w:sz="4" w:space="0"/>
              <w:right w:val="single" w:color="auto" w:sz="4" w:space="0"/>
            </w:tcBorders>
          </w:tcPr>
          <w:p>
            <w:pPr>
              <w:widowControl/>
              <w:spacing w:line="240" w:lineRule="exact"/>
              <w:jc w:val="center"/>
              <w:rPr>
                <w:rFonts w:ascii="宋体" w:hAnsi="宋体" w:eastAsia="宋体" w:cs="宋体"/>
                <w:kern w:val="0"/>
                <w:sz w:val="18"/>
                <w:szCs w:val="18"/>
              </w:rPr>
            </w:pPr>
            <w:r>
              <w:rPr>
                <w:rFonts w:hint="eastAsia"/>
                <w:bCs/>
                <w:sz w:val="18"/>
                <w:szCs w:val="18"/>
              </w:rPr>
              <w:t>34597620.5元</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3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指标1：审计报告出具率（%）</w:t>
            </w:r>
          </w:p>
        </w:tc>
        <w:tc>
          <w:tcPr>
            <w:tcW w:w="9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cs="宋体"/>
                <w:kern w:val="0"/>
                <w:sz w:val="20"/>
                <w:szCs w:val="20"/>
              </w:rPr>
              <w:t>95%-100%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cs="宋体"/>
                <w:kern w:val="0"/>
                <w:sz w:val="20"/>
                <w:szCs w:val="20"/>
              </w:rPr>
              <w:t>100%</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326"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28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ascii="宋体" w:hAnsi="宋体" w:eastAsia="宋体" w:cs="宋体"/>
                <w:kern w:val="0"/>
                <w:sz w:val="18"/>
                <w:szCs w:val="18"/>
              </w:rPr>
              <w:t>提出整改建议</w:t>
            </w:r>
            <w:r>
              <w:rPr>
                <w:rFonts w:hint="eastAsia" w:ascii="宋体" w:hAnsi="宋体" w:eastAsia="宋体" w:cs="宋体"/>
                <w:kern w:val="0"/>
                <w:sz w:val="18"/>
                <w:szCs w:val="18"/>
              </w:rPr>
              <w:t>（</w:t>
            </w:r>
            <w:r>
              <w:rPr>
                <w:rFonts w:ascii="宋体" w:hAnsi="宋体" w:eastAsia="宋体" w:cs="宋体"/>
                <w:kern w:val="0"/>
                <w:sz w:val="18"/>
                <w:szCs w:val="18"/>
              </w:rPr>
              <w:t>条</w:t>
            </w:r>
            <w:r>
              <w:rPr>
                <w:rFonts w:hint="eastAsia" w:ascii="宋体" w:hAnsi="宋体" w:eastAsia="宋体" w:cs="宋体"/>
                <w:kern w:val="0"/>
                <w:sz w:val="18"/>
                <w:szCs w:val="18"/>
              </w:rPr>
              <w:t>）</w:t>
            </w:r>
          </w:p>
        </w:tc>
        <w:tc>
          <w:tcPr>
            <w:tcW w:w="9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4</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52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280" w:type="dxa"/>
            <w:gridSpan w:val="3"/>
            <w:tcBorders>
              <w:top w:val="single" w:color="auto" w:sz="4" w:space="0"/>
              <w:left w:val="nil"/>
              <w:bottom w:val="single" w:color="auto" w:sz="4" w:space="0"/>
              <w:right w:val="single" w:color="auto" w:sz="4" w:space="0"/>
            </w:tcBorders>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指标1：被审计单位对审计制度执行满意度</w:t>
            </w:r>
          </w:p>
        </w:tc>
        <w:tc>
          <w:tcPr>
            <w:tcW w:w="948" w:type="dxa"/>
            <w:tcBorders>
              <w:top w:val="nil"/>
              <w:left w:val="nil"/>
              <w:bottom w:val="single" w:color="auto" w:sz="4" w:space="0"/>
              <w:right w:val="single" w:color="auto" w:sz="4" w:space="0"/>
            </w:tcBorders>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780" w:type="dxa"/>
            <w:tcBorders>
              <w:top w:val="nil"/>
              <w:left w:val="nil"/>
              <w:bottom w:val="single" w:color="auto" w:sz="4" w:space="0"/>
              <w:right w:val="single" w:color="auto" w:sz="4" w:space="0"/>
            </w:tcBorders>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96%</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300" w:hRule="exact"/>
        </w:trPr>
        <w:tc>
          <w:tcPr>
            <w:tcW w:w="6688"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2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1000</w:t>
            </w:r>
          </w:p>
        </w:tc>
        <w:tc>
          <w:tcPr>
            <w:tcW w:w="57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92.4</w:t>
            </w:r>
          </w:p>
        </w:tc>
        <w:tc>
          <w:tcPr>
            <w:tcW w:w="17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无</w:t>
            </w:r>
          </w:p>
        </w:tc>
      </w:tr>
    </w:tbl>
    <w:p>
      <w:pPr>
        <w:rPr>
          <w:rFonts w:ascii="黑体" w:hAnsi="黑体" w:eastAsia="黑体"/>
        </w:rPr>
      </w:pPr>
    </w:p>
    <w:p>
      <w:pPr>
        <w:widowControl/>
        <w:jc w:val="left"/>
        <w:rPr>
          <w:rFonts w:ascii="黑体" w:hAnsi="黑体" w:eastAsia="黑体"/>
        </w:rPr>
      </w:pPr>
      <w:r>
        <w:rPr>
          <w:rFonts w:ascii="黑体" w:hAnsi="黑体" w:eastAsia="黑体"/>
        </w:rPr>
        <w:br w:type="page"/>
      </w:r>
    </w:p>
    <w:p>
      <w:pPr>
        <w:rPr>
          <w:rFonts w:ascii="仿宋" w:hAnsi="仿宋" w:eastAsia="仿宋"/>
        </w:rPr>
      </w:pPr>
      <w:r>
        <w:rPr>
          <w:rFonts w:hint="eastAsia" w:ascii="仿宋" w:hAnsi="仿宋" w:eastAsia="仿宋"/>
        </w:rPr>
        <w:t>附2</w:t>
      </w:r>
    </w:p>
    <w:p>
      <w:pPr>
        <w:jc w:val="center"/>
        <w:rPr>
          <w:rFonts w:ascii="仿宋" w:hAnsi="仿宋" w:eastAsia="仿宋" w:cs="Arial"/>
          <w:b/>
          <w:bCs/>
          <w:sz w:val="36"/>
          <w:szCs w:val="36"/>
        </w:rPr>
      </w:pPr>
      <w:r>
        <w:rPr>
          <w:rFonts w:hint="eastAsia" w:ascii="仿宋" w:hAnsi="仿宋" w:eastAsia="仿宋" w:cs="Arial"/>
          <w:b/>
          <w:bCs/>
          <w:sz w:val="36"/>
          <w:szCs w:val="36"/>
        </w:rPr>
        <w:t>项目支出</w:t>
      </w:r>
      <w:r>
        <w:rPr>
          <w:rFonts w:ascii="仿宋" w:hAnsi="仿宋" w:eastAsia="仿宋" w:cs="Arial"/>
          <w:b/>
          <w:bCs/>
          <w:sz w:val="36"/>
          <w:szCs w:val="36"/>
        </w:rPr>
        <w:t>绩效</w:t>
      </w:r>
      <w:r>
        <w:rPr>
          <w:rFonts w:hint="eastAsia" w:ascii="仿宋" w:hAnsi="仿宋" w:eastAsia="仿宋" w:cs="Arial"/>
          <w:b/>
          <w:bCs/>
          <w:sz w:val="36"/>
          <w:szCs w:val="36"/>
        </w:rPr>
        <w:t>评价报告</w:t>
      </w:r>
    </w:p>
    <w:p>
      <w:pPr>
        <w:spacing w:line="560" w:lineRule="exact"/>
        <w:ind w:firstLine="602" w:firstLineChars="200"/>
        <w:rPr>
          <w:rFonts w:ascii="仿宋" w:hAnsi="仿宋" w:eastAsia="仿宋"/>
          <w:b/>
          <w:bCs/>
        </w:rPr>
      </w:pPr>
      <w:r>
        <w:rPr>
          <w:rFonts w:hint="eastAsia" w:ascii="仿宋" w:hAnsi="仿宋" w:eastAsia="仿宋"/>
          <w:b/>
          <w:bCs/>
        </w:rPr>
        <w:t>一、基本情况</w:t>
      </w:r>
    </w:p>
    <w:p>
      <w:pPr>
        <w:pStyle w:val="9"/>
        <w:numPr>
          <w:ilvl w:val="0"/>
          <w:numId w:val="1"/>
        </w:numPr>
        <w:spacing w:line="560" w:lineRule="exact"/>
        <w:ind w:firstLineChars="0"/>
        <w:rPr>
          <w:rFonts w:ascii="仿宋" w:hAnsi="仿宋" w:eastAsia="仿宋"/>
          <w:b/>
          <w:bCs/>
        </w:rPr>
      </w:pPr>
      <w:r>
        <w:rPr>
          <w:rFonts w:hint="eastAsia" w:ascii="仿宋" w:hAnsi="仿宋" w:eastAsia="仿宋"/>
        </w:rPr>
        <w:t>项目概况</w:t>
      </w:r>
      <w:r>
        <w:rPr>
          <w:rFonts w:hint="eastAsia" w:ascii="仿宋" w:hAnsi="仿宋" w:eastAsia="仿宋"/>
          <w:b/>
          <w:bCs/>
        </w:rPr>
        <w:t>。</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固定资产投资审计。2019年，和静县审计局在县委、县人民政府的正确领导下，在上级审计机关的大力支持下，紧紧围绕社会稳定和长治久安总目标，围绕中央、自治区、自治州审计工作会议精神和县委、县人民政府工作中心，持续坚持“二十字”审计工作方针，适应新常态，展现新作为，充分发挥国家审计的监督和保障作用。</w:t>
      </w:r>
    </w:p>
    <w:p>
      <w:pPr>
        <w:numPr>
          <w:ilvl w:val="0"/>
          <w:numId w:val="2"/>
        </w:numPr>
        <w:spacing w:line="600" w:lineRule="exact"/>
        <w:ind w:firstLine="600" w:firstLineChars="200"/>
        <w:outlineLvl w:val="0"/>
        <w:rPr>
          <w:rFonts w:ascii="仿宋" w:hAnsi="仿宋" w:eastAsia="仿宋"/>
        </w:rPr>
      </w:pPr>
      <w:r>
        <w:rPr>
          <w:rFonts w:hint="eastAsia" w:ascii="仿宋" w:hAnsi="仿宋" w:eastAsia="仿宋"/>
        </w:rPr>
        <w:t>项目绩效目标。</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认真贯彻《新疆维吾尔自治区国家建设项目审计管理条例》、《巴音郭楞蒙古自治州政府投资建设项目审计办法》，强化政府投资建设项目审计监督，积极完成上级审计机关统一组织安排的、县人民政府委托的投资审计项目。</w:t>
      </w:r>
    </w:p>
    <w:p>
      <w:pPr>
        <w:spacing w:line="600" w:lineRule="exact"/>
        <w:ind w:firstLine="602" w:firstLineChars="200"/>
        <w:rPr>
          <w:rFonts w:ascii="仿宋" w:hAnsi="仿宋" w:eastAsia="仿宋"/>
          <w:b/>
          <w:bCs/>
        </w:rPr>
      </w:pPr>
      <w:r>
        <w:rPr>
          <w:rFonts w:hint="eastAsia" w:ascii="仿宋" w:hAnsi="仿宋" w:eastAsia="仿宋"/>
          <w:b/>
          <w:bCs/>
        </w:rPr>
        <w:t>二、绩效评价工作开展情况</w:t>
      </w:r>
    </w:p>
    <w:p>
      <w:pPr>
        <w:spacing w:line="600" w:lineRule="exact"/>
        <w:ind w:firstLine="600" w:firstLineChars="200"/>
        <w:rPr>
          <w:rFonts w:ascii="仿宋" w:hAnsi="仿宋" w:eastAsia="仿宋"/>
        </w:rPr>
      </w:pPr>
      <w:r>
        <w:rPr>
          <w:rFonts w:hint="eastAsia" w:ascii="仿宋" w:hAnsi="仿宋" w:eastAsia="仿宋"/>
        </w:rPr>
        <w:t>（一）绩效评价目的、对象和范围。</w:t>
      </w:r>
    </w:p>
    <w:p>
      <w:pPr>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根据和静县经济责任审计联席会议安排和县党委组织部的委托开展审计工作，拟定2-3个单位进行经济责任审计</w:t>
      </w:r>
      <w:r>
        <w:rPr>
          <w:rFonts w:hint="eastAsia" w:ascii="仿宋" w:hAnsi="仿宋" w:eastAsia="仿宋" w:cs="仿宋_GB2312"/>
          <w:sz w:val="32"/>
          <w:szCs w:val="32"/>
        </w:rPr>
        <w:t>。</w:t>
      </w:r>
    </w:p>
    <w:p>
      <w:pPr>
        <w:spacing w:line="600" w:lineRule="exact"/>
        <w:ind w:firstLine="600" w:firstLineChars="200"/>
        <w:rPr>
          <w:rFonts w:ascii="仿宋" w:hAnsi="仿宋" w:eastAsia="仿宋"/>
        </w:rPr>
      </w:pPr>
      <w:r>
        <w:rPr>
          <w:rFonts w:hint="eastAsia" w:ascii="仿宋" w:hAnsi="仿宋" w:eastAsia="仿宋"/>
        </w:rPr>
        <w:t>（二）绩效评价原则、评价指标体系（附表说明）、评价方法、评价标准等。</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该项经费我局用于支付委托社会中介审计公司，聘请具有工程计量计价资质的工程技术人员，审计局工程审计人员全程参与审计，实施建设项目结算审计费用。</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经费于2019年1-1</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月进行，评估时间于项目完成开始，我局形成专门的实施工作小组开展评估进度。</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通过召开会议，开会讨论项目实施的可行性及绩效目标，形成三重一大会议记录。</w:t>
      </w:r>
    </w:p>
    <w:p>
      <w:pPr>
        <w:spacing w:line="560" w:lineRule="exact"/>
        <w:ind w:firstLine="640" w:firstLineChars="200"/>
        <w:rPr>
          <w:rFonts w:ascii="仿宋" w:hAnsi="仿宋" w:eastAsia="仿宋"/>
        </w:rPr>
      </w:pPr>
      <w:r>
        <w:rPr>
          <w:rFonts w:hint="eastAsia" w:ascii="仿宋" w:hAnsi="仿宋" w:eastAsia="仿宋" w:cs="仿宋_GB2312"/>
          <w:sz w:val="32"/>
          <w:szCs w:val="32"/>
        </w:rPr>
        <w:t>通过对比2017、2018年数据综合分析评估。</w:t>
      </w:r>
    </w:p>
    <w:p>
      <w:pPr>
        <w:numPr>
          <w:ilvl w:val="0"/>
          <w:numId w:val="2"/>
        </w:numPr>
        <w:spacing w:line="600" w:lineRule="exact"/>
        <w:ind w:firstLine="600" w:firstLineChars="200"/>
        <w:rPr>
          <w:rFonts w:ascii="仿宋" w:hAnsi="仿宋" w:eastAsia="仿宋"/>
        </w:rPr>
      </w:pPr>
      <w:r>
        <w:rPr>
          <w:rFonts w:hint="eastAsia" w:ascii="仿宋" w:hAnsi="仿宋" w:eastAsia="仿宋"/>
        </w:rPr>
        <w:t>绩效评价工作过程。</w:t>
      </w:r>
    </w:p>
    <w:p>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经费使用管理要坚持公平、公正、公开的原则，由班子集体研究决定，资金支出和使用情况要在单位公示，自觉接受单位干部监督。</w:t>
      </w:r>
    </w:p>
    <w:p>
      <w:pPr>
        <w:spacing w:line="520" w:lineRule="exact"/>
        <w:ind w:firstLine="624" w:firstLineChars="200"/>
        <w:rPr>
          <w:rFonts w:ascii="仿宋" w:hAnsi="仿宋" w:eastAsia="仿宋"/>
          <w:spacing w:val="-4"/>
          <w:sz w:val="32"/>
          <w:szCs w:val="32"/>
        </w:rPr>
      </w:pPr>
      <w:r>
        <w:rPr>
          <w:rFonts w:hint="eastAsia" w:ascii="仿宋" w:hAnsi="仿宋" w:eastAsia="仿宋"/>
          <w:spacing w:val="-4"/>
          <w:sz w:val="32"/>
          <w:szCs w:val="32"/>
        </w:rPr>
        <w:t>评价相关数据均来源于审计项目统计报表，该报表按季度已向巴州审计局上报。</w:t>
      </w:r>
    </w:p>
    <w:p>
      <w:pPr>
        <w:numPr>
          <w:ilvl w:val="0"/>
          <w:numId w:val="3"/>
        </w:numPr>
        <w:spacing w:line="600" w:lineRule="exact"/>
        <w:ind w:firstLine="602" w:firstLineChars="200"/>
        <w:rPr>
          <w:rFonts w:ascii="仿宋" w:hAnsi="仿宋" w:eastAsia="仿宋"/>
          <w:b/>
          <w:bCs/>
        </w:rPr>
      </w:pPr>
      <w:r>
        <w:rPr>
          <w:rFonts w:hint="eastAsia" w:ascii="仿宋" w:hAnsi="仿宋" w:eastAsia="仿宋"/>
          <w:b/>
          <w:bCs/>
        </w:rPr>
        <w:t>综合评价情况及评价结论。</w:t>
      </w:r>
    </w:p>
    <w:p>
      <w:pPr>
        <w:spacing w:line="520" w:lineRule="exact"/>
        <w:ind w:firstLine="640" w:firstLineChars="200"/>
        <w:rPr>
          <w:rFonts w:ascii="仿宋" w:hAnsi="仿宋" w:eastAsia="仿宋" w:cs="仿宋_GB2312"/>
          <w:bCs/>
        </w:rPr>
      </w:pPr>
      <w:r>
        <w:rPr>
          <w:rFonts w:hint="eastAsia" w:ascii="仿宋" w:hAnsi="仿宋" w:eastAsia="仿宋" w:cs="仿宋_GB2312"/>
          <w:sz w:val="32"/>
          <w:szCs w:val="32"/>
        </w:rPr>
        <w:t>资金的有效使用，缓解了我局经费缺乏的问题，力促进审计人员在开展监督检查工作时切实贯彻“依法审计、服务大局、围绕中心、突出重点、求真务实”审计工作方针，做到审深、审透，保证了审计质量。同时，有效促进了服务型、高效型、廉洁型审计机关建设。审计报告出具率</w:t>
      </w:r>
      <w:r>
        <w:rPr>
          <w:rFonts w:hint="eastAsia" w:ascii="仿宋" w:hAnsi="仿宋" w:eastAsia="仿宋" w:cs="仿宋_GB2312"/>
          <w:bCs/>
        </w:rPr>
        <w:t>100%.</w:t>
      </w:r>
    </w:p>
    <w:p>
      <w:pPr>
        <w:pStyle w:val="9"/>
        <w:numPr>
          <w:ilvl w:val="0"/>
          <w:numId w:val="4"/>
        </w:numPr>
        <w:spacing w:line="600" w:lineRule="exact"/>
        <w:ind w:firstLineChars="0"/>
        <w:rPr>
          <w:rFonts w:ascii="仿宋" w:hAnsi="仿宋" w:eastAsia="仿宋"/>
          <w:b/>
          <w:bCs/>
        </w:rPr>
      </w:pPr>
      <w:r>
        <w:rPr>
          <w:rFonts w:hint="eastAsia" w:ascii="仿宋" w:hAnsi="仿宋" w:eastAsia="仿宋"/>
          <w:b/>
          <w:bCs/>
        </w:rPr>
        <w:t>绩效评价指标分析</w:t>
      </w:r>
    </w:p>
    <w:p>
      <w:pPr>
        <w:pStyle w:val="9"/>
        <w:numPr>
          <w:ilvl w:val="0"/>
          <w:numId w:val="5"/>
        </w:numPr>
        <w:spacing w:line="600" w:lineRule="exact"/>
        <w:ind w:firstLineChars="0"/>
        <w:outlineLvl w:val="0"/>
        <w:rPr>
          <w:rFonts w:ascii="仿宋" w:hAnsi="仿宋" w:eastAsia="仿宋"/>
        </w:rPr>
      </w:pPr>
      <w:r>
        <w:rPr>
          <w:rFonts w:hint="eastAsia" w:ascii="仿宋" w:hAnsi="仿宋" w:eastAsia="仿宋"/>
        </w:rPr>
        <w:t>项目决策情况。</w:t>
      </w:r>
    </w:p>
    <w:p>
      <w:pPr>
        <w:spacing w:line="600" w:lineRule="exact"/>
        <w:ind w:firstLine="640" w:firstLineChars="200"/>
        <w:outlineLvl w:val="0"/>
        <w:rPr>
          <w:rFonts w:ascii="仿宋" w:hAnsi="仿宋" w:eastAsia="仿宋"/>
        </w:rPr>
      </w:pPr>
      <w:r>
        <w:rPr>
          <w:rFonts w:hint="eastAsia" w:ascii="仿宋" w:hAnsi="仿宋" w:eastAsia="仿宋" w:cs="仿宋_GB2312"/>
          <w:color w:val="000000"/>
          <w:sz w:val="32"/>
          <w:szCs w:val="32"/>
        </w:rPr>
        <w:t>根据和静县经济责任审计联席会议安排和县党委组织部的委托开展审计工作，召开专题会议讨论审计组配置。</w:t>
      </w:r>
    </w:p>
    <w:p>
      <w:pPr>
        <w:numPr>
          <w:ilvl w:val="0"/>
          <w:numId w:val="6"/>
        </w:numPr>
        <w:spacing w:line="600" w:lineRule="exact"/>
        <w:ind w:firstLine="600" w:firstLineChars="200"/>
        <w:outlineLvl w:val="0"/>
        <w:rPr>
          <w:rFonts w:ascii="仿宋" w:hAnsi="仿宋" w:eastAsia="仿宋"/>
        </w:rPr>
      </w:pPr>
      <w:r>
        <w:rPr>
          <w:rFonts w:hint="eastAsia" w:ascii="仿宋" w:hAnsi="仿宋" w:eastAsia="仿宋"/>
        </w:rPr>
        <w:t>项目产出情况。</w:t>
      </w:r>
    </w:p>
    <w:p>
      <w:pPr>
        <w:spacing w:line="520" w:lineRule="exact"/>
        <w:ind w:firstLine="640" w:firstLineChars="200"/>
        <w:rPr>
          <w:rFonts w:hint="eastAsia" w:ascii="仿宋" w:hAnsi="仿宋" w:eastAsia="仿宋" w:cs="仿宋_GB2312"/>
          <w:color w:val="000000"/>
          <w:sz w:val="32"/>
          <w:szCs w:val="32"/>
        </w:rPr>
      </w:pPr>
      <w:r>
        <w:rPr>
          <w:rFonts w:ascii="仿宋" w:hAnsi="仿宋" w:eastAsia="仿宋" w:cs="仿宋_GB2312"/>
          <w:color w:val="000000"/>
          <w:sz w:val="32"/>
          <w:szCs w:val="32"/>
        </w:rPr>
        <w:t>20</w:t>
      </w:r>
      <w:r>
        <w:rPr>
          <w:rFonts w:hint="eastAsia" w:ascii="仿宋" w:hAnsi="仿宋" w:eastAsia="仿宋" w:cs="仿宋_GB2312"/>
          <w:color w:val="000000"/>
          <w:sz w:val="32"/>
          <w:szCs w:val="32"/>
        </w:rPr>
        <w:t>19</w:t>
      </w:r>
      <w:r>
        <w:rPr>
          <w:rFonts w:ascii="仿宋" w:hAnsi="仿宋" w:eastAsia="仿宋" w:cs="仿宋_GB2312"/>
          <w:color w:val="000000"/>
          <w:sz w:val="32"/>
          <w:szCs w:val="32"/>
        </w:rPr>
        <w:t>年，和静县审计局</w:t>
      </w:r>
      <w:r>
        <w:rPr>
          <w:rFonts w:hint="eastAsia" w:ascii="仿宋" w:hAnsi="仿宋" w:eastAsia="仿宋" w:cs="仿宋_GB2312"/>
          <w:color w:val="000000"/>
          <w:sz w:val="32"/>
          <w:szCs w:val="32"/>
        </w:rPr>
        <w:t>申报项目125个，报审价289268914.15元，审核价254671293.85元，审减额34597620.5元，核减率13.59%</w:t>
      </w:r>
      <w:r>
        <w:rPr>
          <w:rFonts w:ascii="仿宋" w:hAnsi="仿宋" w:eastAsia="仿宋" w:cs="仿宋_GB2312"/>
          <w:color w:val="000000"/>
          <w:sz w:val="32"/>
          <w:szCs w:val="32"/>
        </w:rPr>
        <w:t>。</w:t>
      </w:r>
    </w:p>
    <w:p>
      <w:pPr>
        <w:numPr>
          <w:ilvl w:val="0"/>
          <w:numId w:val="6"/>
        </w:numPr>
        <w:spacing w:line="600" w:lineRule="exact"/>
        <w:ind w:firstLine="600" w:firstLineChars="200"/>
        <w:outlineLvl w:val="0"/>
        <w:rPr>
          <w:rFonts w:ascii="仿宋" w:hAnsi="仿宋" w:eastAsia="仿宋"/>
        </w:rPr>
      </w:pPr>
      <w:r>
        <w:rPr>
          <w:rFonts w:hint="eastAsia" w:ascii="仿宋" w:hAnsi="仿宋" w:eastAsia="仿宋"/>
        </w:rPr>
        <w:t>项目效益情况。</w:t>
      </w:r>
    </w:p>
    <w:p>
      <w:pPr>
        <w:spacing w:line="600" w:lineRule="exact"/>
        <w:ind w:firstLine="640" w:firstLineChars="200"/>
        <w:outlineLvl w:val="0"/>
        <w:rPr>
          <w:rFonts w:ascii="仿宋" w:hAnsi="仿宋" w:eastAsia="仿宋"/>
        </w:rPr>
      </w:pPr>
      <w:r>
        <w:rPr>
          <w:rFonts w:hint="eastAsia" w:ascii="仿宋" w:hAnsi="仿宋" w:eastAsia="仿宋" w:cs="仿宋_GB2312"/>
          <w:color w:val="000000"/>
          <w:sz w:val="32"/>
          <w:szCs w:val="32"/>
        </w:rPr>
        <w:t>贯彻《新疆维吾尔自治区国家建设项目审计管理条例》、《巴音郭楞蒙古自治州政府投资建设项目审计办法》，强化政府投资建设项目审计监督。</w:t>
      </w:r>
    </w:p>
    <w:p>
      <w:pPr>
        <w:spacing w:line="600" w:lineRule="exact"/>
        <w:ind w:firstLine="602" w:firstLineChars="200"/>
        <w:rPr>
          <w:rFonts w:ascii="仿宋" w:hAnsi="仿宋" w:eastAsia="仿宋"/>
          <w:b/>
          <w:bCs/>
        </w:rPr>
      </w:pPr>
      <w:r>
        <w:rPr>
          <w:rFonts w:hint="eastAsia" w:ascii="仿宋" w:hAnsi="仿宋" w:eastAsia="仿宋"/>
          <w:b/>
          <w:bCs/>
        </w:rPr>
        <w:t>五、主要经验及做法、存在的问题及原因分析</w:t>
      </w:r>
    </w:p>
    <w:p>
      <w:pPr>
        <w:spacing w:line="540" w:lineRule="exact"/>
        <w:ind w:firstLine="624" w:firstLineChars="200"/>
        <w:rPr>
          <w:rFonts w:ascii="仿宋" w:hAnsi="仿宋" w:eastAsia="仿宋"/>
        </w:rPr>
      </w:pPr>
      <w:r>
        <w:rPr>
          <w:rStyle w:val="6"/>
          <w:rFonts w:hint="eastAsia" w:ascii="仿宋" w:hAnsi="仿宋" w:eastAsia="仿宋"/>
          <w:b w:val="0"/>
          <w:color w:val="000000" w:themeColor="text1"/>
          <w:spacing w:val="-4"/>
          <w:sz w:val="32"/>
          <w:szCs w:val="32"/>
          <w14:textFill>
            <w14:solidFill>
              <w14:schemeClr w14:val="tx1"/>
            </w14:solidFill>
          </w14:textFill>
        </w:rPr>
        <w:t>项目资金管理严格执行请、拨款制度，实行项目资金专款专用。建立项目资金管理领导责任制，自觉接受财政、审计、纪检部门的监督检查，强化项目资金的管理和监督。对擅自变更项目预算、截留、挪用和坐支项目资金的，按照法律法规的规定严肃查处。定期不定期开展项目资金专项检查，全程跟踪检查各项项目资金的拨付、使用情况，对发现的资金管理方面的重大问题及时上报。</w:t>
      </w:r>
    </w:p>
    <w:p>
      <w:pPr>
        <w:spacing w:line="600" w:lineRule="exact"/>
        <w:ind w:left="600" w:leftChars="200"/>
        <w:rPr>
          <w:rFonts w:ascii="仿宋" w:hAnsi="仿宋" w:eastAsia="仿宋"/>
          <w:b/>
          <w:bCs/>
        </w:rPr>
      </w:pPr>
      <w:r>
        <w:rPr>
          <w:rFonts w:hint="eastAsia" w:ascii="仿宋" w:hAnsi="仿宋" w:eastAsia="仿宋"/>
          <w:b/>
          <w:bCs/>
        </w:rPr>
        <w:t>六、有关建议</w:t>
      </w:r>
    </w:p>
    <w:p>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1.继续健全和完善各项绩效考核制度。</w:t>
      </w:r>
    </w:p>
    <w:p>
      <w:pPr>
        <w:spacing w:line="560" w:lineRule="exact"/>
        <w:ind w:firstLine="640" w:firstLineChars="200"/>
        <w:rPr>
          <w:rFonts w:ascii="仿宋" w:hAnsi="仿宋" w:eastAsia="仿宋"/>
        </w:rPr>
      </w:pPr>
      <w:r>
        <w:rPr>
          <w:rFonts w:hint="eastAsia" w:ascii="仿宋" w:hAnsi="仿宋" w:eastAsia="仿宋" w:cs="仿宋_GB2312"/>
          <w:bCs/>
          <w:sz w:val="32"/>
          <w:szCs w:val="32"/>
        </w:rPr>
        <w:t>2.提高部门负责人管理水平，提升下属执行力。</w:t>
      </w:r>
    </w:p>
    <w:p>
      <w:pPr>
        <w:spacing w:line="600" w:lineRule="exact"/>
        <w:ind w:firstLine="602" w:firstLineChars="200"/>
        <w:rPr>
          <w:rFonts w:ascii="仿宋" w:hAnsi="仿宋" w:eastAsia="仿宋"/>
          <w:b/>
          <w:bCs/>
        </w:rPr>
      </w:pPr>
      <w:r>
        <w:rPr>
          <w:rFonts w:hint="eastAsia" w:ascii="仿宋" w:hAnsi="仿宋" w:eastAsia="仿宋"/>
          <w:b/>
          <w:bCs/>
        </w:rPr>
        <w:t>七、其他需要说明的问题</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5BC87C"/>
    <w:multiLevelType w:val="singleLevel"/>
    <w:tmpl w:val="8C5BC87C"/>
    <w:lvl w:ilvl="0" w:tentative="0">
      <w:start w:val="2"/>
      <w:numFmt w:val="chineseCounting"/>
      <w:suff w:val="nothing"/>
      <w:lvlText w:val="（%1）"/>
      <w:lvlJc w:val="left"/>
      <w:rPr>
        <w:rFonts w:hint="eastAsia"/>
      </w:rPr>
    </w:lvl>
  </w:abstractNum>
  <w:abstractNum w:abstractNumId="1">
    <w:nsid w:val="074C2EFA"/>
    <w:multiLevelType w:val="multilevel"/>
    <w:tmpl w:val="074C2EFA"/>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191B39C9"/>
    <w:multiLevelType w:val="singleLevel"/>
    <w:tmpl w:val="191B39C9"/>
    <w:lvl w:ilvl="0" w:tentative="0">
      <w:start w:val="3"/>
      <w:numFmt w:val="chineseCounting"/>
      <w:suff w:val="nothing"/>
      <w:lvlText w:val="%1、"/>
      <w:lvlJc w:val="left"/>
      <w:rPr>
        <w:rFonts w:hint="eastAsia"/>
      </w:rPr>
    </w:lvl>
  </w:abstractNum>
  <w:abstractNum w:abstractNumId="3">
    <w:nsid w:val="1DA576FD"/>
    <w:multiLevelType w:val="multilevel"/>
    <w:tmpl w:val="1DA576FD"/>
    <w:lvl w:ilvl="0" w:tentative="0">
      <w:start w:val="4"/>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34B1375D"/>
    <w:multiLevelType w:val="singleLevel"/>
    <w:tmpl w:val="34B1375D"/>
    <w:lvl w:ilvl="0" w:tentative="0">
      <w:start w:val="2"/>
      <w:numFmt w:val="chineseCounting"/>
      <w:suff w:val="nothing"/>
      <w:lvlText w:val="（%1）"/>
      <w:lvlJc w:val="left"/>
      <w:rPr>
        <w:rFonts w:hint="eastAsia"/>
      </w:rPr>
    </w:lvl>
  </w:abstractNum>
  <w:abstractNum w:abstractNumId="5">
    <w:nsid w:val="58A90700"/>
    <w:multiLevelType w:val="multilevel"/>
    <w:tmpl w:val="58A90700"/>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AC9"/>
    <w:rsid w:val="000859EF"/>
    <w:rsid w:val="000B4E42"/>
    <w:rsid w:val="0043448B"/>
    <w:rsid w:val="004B5FA2"/>
    <w:rsid w:val="00535AC9"/>
    <w:rsid w:val="006D16F7"/>
    <w:rsid w:val="009A52BC"/>
    <w:rsid w:val="00B260BA"/>
    <w:rsid w:val="00BA7FC5"/>
    <w:rsid w:val="00CC310C"/>
    <w:rsid w:val="00D704BE"/>
    <w:rsid w:val="00E3118B"/>
    <w:rsid w:val="00F81220"/>
    <w:rsid w:val="02341BE5"/>
    <w:rsid w:val="09F9635F"/>
    <w:rsid w:val="0AD5437D"/>
    <w:rsid w:val="0AEF1AF1"/>
    <w:rsid w:val="1469771F"/>
    <w:rsid w:val="18512054"/>
    <w:rsid w:val="1AB9621E"/>
    <w:rsid w:val="1B876939"/>
    <w:rsid w:val="1EAB1F66"/>
    <w:rsid w:val="291870F0"/>
    <w:rsid w:val="2E796FDA"/>
    <w:rsid w:val="3079592D"/>
    <w:rsid w:val="30C87EA6"/>
    <w:rsid w:val="3456449B"/>
    <w:rsid w:val="390670BA"/>
    <w:rsid w:val="3D437809"/>
    <w:rsid w:val="4A154265"/>
    <w:rsid w:val="4F6770A1"/>
    <w:rsid w:val="52717124"/>
    <w:rsid w:val="5BB07A44"/>
    <w:rsid w:val="5C357E3B"/>
    <w:rsid w:val="682852BA"/>
    <w:rsid w:val="7A450FB4"/>
    <w:rsid w:val="7B857282"/>
    <w:rsid w:val="7E4C73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customStyle="1"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339</Words>
  <Characters>1933</Characters>
  <Lines>16</Lines>
  <Paragraphs>4</Paragraphs>
  <TotalTime>0</TotalTime>
  <ScaleCrop>false</ScaleCrop>
  <LinksUpToDate>false</LinksUpToDate>
  <CharactersWithSpaces>2268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2020-04-01T05:41:00Z</dcterms:created>
  <dc:creator>CurUserName</dc:creator>
  <cp:lastModifiedBy>Administrator</cp:lastModifiedBy>
  <dcterms:modified xsi:type="dcterms:W3CDTF">2021-05-29T12:05:47Z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