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hint="eastAsia" w:ascii="黑体" w:hAnsi="黑体" w:eastAsia="黑体"/>
          <w:sz w:val="32"/>
          <w:szCs w:val="32"/>
        </w:rPr>
      </w:pPr>
      <w:r>
        <w:rPr>
          <w:rFonts w:hint="eastAsia" w:ascii="黑体" w:hAnsi="黑体" w:eastAsia="黑体"/>
          <w:sz w:val="32"/>
          <w:szCs w:val="32"/>
        </w:rPr>
        <w:t>附1</w:t>
      </w:r>
    </w:p>
    <w:tbl>
      <w:tblPr>
        <w:tblStyle w:val="4"/>
        <w:tblW w:w="9080" w:type="dxa"/>
        <w:jc w:val="center"/>
        <w:tblLayout w:type="fixed"/>
        <w:tblCellMar>
          <w:top w:w="0" w:type="dxa"/>
          <w:left w:w="108" w:type="dxa"/>
          <w:bottom w:w="0" w:type="dxa"/>
          <w:right w:w="108" w:type="dxa"/>
        </w:tblCellMar>
      </w:tblPr>
      <w:tblGrid>
        <w:gridCol w:w="588"/>
        <w:gridCol w:w="980"/>
        <w:gridCol w:w="1112"/>
        <w:gridCol w:w="730"/>
        <w:gridCol w:w="1134"/>
        <w:gridCol w:w="284"/>
        <w:gridCol w:w="1092"/>
        <w:gridCol w:w="655"/>
        <w:gridCol w:w="521"/>
        <w:gridCol w:w="425"/>
        <w:gridCol w:w="252"/>
        <w:gridCol w:w="599"/>
        <w:gridCol w:w="708"/>
      </w:tblGrid>
      <w:tr>
        <w:tblPrEx>
          <w:tblCellMar>
            <w:top w:w="0" w:type="dxa"/>
            <w:left w:w="108" w:type="dxa"/>
            <w:bottom w:w="0" w:type="dxa"/>
            <w:right w:w="108" w:type="dxa"/>
          </w:tblCellMar>
        </w:tblPrEx>
        <w:trPr>
          <w:trHeight w:val="454" w:hRule="exact"/>
          <w:jc w:val="center"/>
        </w:trPr>
        <w:tc>
          <w:tcPr>
            <w:tcW w:w="9080" w:type="dxa"/>
            <w:gridSpan w:val="13"/>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201" w:hRule="atLeast"/>
          <w:jc w:val="center"/>
        </w:trPr>
        <w:tc>
          <w:tcPr>
            <w:tcW w:w="9080" w:type="dxa"/>
            <w:gridSpan w:val="13"/>
            <w:tcBorders>
              <w:top w:val="nil"/>
              <w:left w:val="nil"/>
              <w:bottom w:val="nil"/>
              <w:right w:val="nil"/>
            </w:tcBorders>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 xml:space="preserve">（  </w:t>
            </w:r>
            <w:r>
              <w:rPr>
                <w:rFonts w:hint="eastAsia" w:ascii="宋体" w:hAnsi="宋体" w:eastAsia="宋体" w:cs="宋体"/>
                <w:kern w:val="0"/>
                <w:sz w:val="22"/>
                <w:szCs w:val="22"/>
                <w:lang w:val="en-US" w:eastAsia="zh-CN"/>
              </w:rPr>
              <w:t>2019</w:t>
            </w:r>
            <w:r>
              <w:rPr>
                <w:rFonts w:hint="eastAsia" w:ascii="宋体" w:hAnsi="宋体" w:eastAsia="宋体" w:cs="宋体"/>
                <w:kern w:val="0"/>
                <w:sz w:val="22"/>
                <w:szCs w:val="22"/>
              </w:rPr>
              <w:t xml:space="preserve"> 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75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乡村基本运转项目</w:t>
            </w:r>
          </w:p>
        </w:tc>
      </w:tr>
      <w:tr>
        <w:tblPrEx>
          <w:tblCellMar>
            <w:top w:w="0" w:type="dxa"/>
            <w:left w:w="108" w:type="dxa"/>
            <w:bottom w:w="0" w:type="dxa"/>
            <w:right w:w="108" w:type="dxa"/>
          </w:tblCellMar>
        </w:tblPrEx>
        <w:trPr>
          <w:trHeight w:val="464"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35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w:t>
            </w:r>
            <w:r>
              <w:rPr>
                <w:rFonts w:hint="eastAsia" w:ascii="宋体" w:hAnsi="宋体" w:eastAsia="宋体" w:cs="宋体"/>
                <w:kern w:val="0"/>
                <w:sz w:val="18"/>
                <w:szCs w:val="18"/>
                <w:lang w:eastAsia="zh-CN"/>
              </w:rPr>
              <w:t>县巴音郭楞乡</w:t>
            </w:r>
            <w:r>
              <w:rPr>
                <w:rFonts w:hint="eastAsia" w:ascii="宋体" w:hAnsi="宋体" w:eastAsia="宋体" w:cs="宋体"/>
                <w:kern w:val="0"/>
                <w:sz w:val="18"/>
                <w:szCs w:val="18"/>
              </w:rPr>
              <w:t>人民政府</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250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和静县巴</w:t>
            </w:r>
            <w:r>
              <w:rPr>
                <w:rFonts w:hint="eastAsia" w:ascii="宋体" w:hAnsi="宋体" w:eastAsia="宋体" w:cs="宋体"/>
                <w:kern w:val="0"/>
                <w:sz w:val="18"/>
                <w:szCs w:val="18"/>
                <w:lang w:eastAsia="zh-CN"/>
              </w:rPr>
              <w:t>音郭楞乡</w:t>
            </w:r>
            <w:r>
              <w:rPr>
                <w:rFonts w:hint="eastAsia" w:ascii="宋体" w:hAnsi="宋体" w:eastAsia="宋体" w:cs="宋体"/>
                <w:kern w:val="0"/>
                <w:sz w:val="18"/>
                <w:szCs w:val="18"/>
              </w:rPr>
              <w:t>人民政府</w:t>
            </w:r>
          </w:p>
        </w:tc>
      </w:tr>
      <w:tr>
        <w:tblPrEx>
          <w:tblCellMar>
            <w:top w:w="0" w:type="dxa"/>
            <w:left w:w="108" w:type="dxa"/>
            <w:bottom w:w="0" w:type="dxa"/>
            <w:right w:w="108" w:type="dxa"/>
          </w:tblCellMar>
        </w:tblPrEx>
        <w:trPr>
          <w:trHeight w:val="421"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94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c>
          <w:tcPr>
            <w:tcW w:w="70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0</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5332"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31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274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5332"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目标1：制定和组织实施乡镇经济、科技和社会发展计划，制定资源开发技术改造和产业结构调整方案，组织指导好各村的经济发展、社会管理综合治理、环境卫生整治等。目标2：保障</w:t>
            </w:r>
            <w:r>
              <w:rPr>
                <w:rFonts w:hint="eastAsia" w:ascii="宋体" w:hAnsi="宋体" w:eastAsia="宋体" w:cs="宋体"/>
                <w:kern w:val="0"/>
                <w:sz w:val="18"/>
                <w:szCs w:val="18"/>
                <w:lang w:eastAsia="zh-CN"/>
              </w:rPr>
              <w:t>各</w:t>
            </w:r>
            <w:r>
              <w:rPr>
                <w:rFonts w:hint="eastAsia" w:ascii="宋体" w:hAnsi="宋体" w:eastAsia="宋体" w:cs="宋体"/>
                <w:kern w:val="0"/>
                <w:sz w:val="18"/>
                <w:szCs w:val="18"/>
              </w:rPr>
              <w:t>村正常运转，巩固农村基层政权；目标3：通过</w:t>
            </w:r>
            <w:r>
              <w:rPr>
                <w:rFonts w:hint="eastAsia" w:ascii="宋体" w:hAnsi="宋体" w:eastAsia="宋体" w:cs="宋体"/>
                <w:kern w:val="0"/>
                <w:sz w:val="18"/>
                <w:szCs w:val="18"/>
                <w:lang w:eastAsia="zh-CN"/>
              </w:rPr>
              <w:t>各</w:t>
            </w:r>
            <w:r>
              <w:rPr>
                <w:rFonts w:hint="eastAsia" w:ascii="宋体" w:hAnsi="宋体" w:eastAsia="宋体" w:cs="宋体"/>
                <w:kern w:val="0"/>
                <w:sz w:val="18"/>
                <w:szCs w:val="18"/>
              </w:rPr>
              <w:t>村党组织惠民政策的实施</w:t>
            </w:r>
            <w:r>
              <w:rPr>
                <w:rFonts w:hint="eastAsia" w:ascii="宋体" w:hAnsi="宋体" w:eastAsia="宋体" w:cs="宋体"/>
                <w:kern w:val="0"/>
                <w:sz w:val="18"/>
                <w:szCs w:val="18"/>
                <w:lang w:eastAsia="zh-CN"/>
              </w:rPr>
              <w:t>各</w:t>
            </w:r>
            <w:r>
              <w:rPr>
                <w:rFonts w:hint="eastAsia" w:ascii="宋体" w:hAnsi="宋体" w:eastAsia="宋体" w:cs="宋体"/>
                <w:kern w:val="0"/>
                <w:sz w:val="18"/>
                <w:szCs w:val="18"/>
              </w:rPr>
              <w:t>村党建服务品牌建设</w:t>
            </w:r>
            <w:r>
              <w:rPr>
                <w:rFonts w:hint="eastAsia" w:ascii="宋体" w:hAnsi="宋体" w:eastAsia="宋体" w:cs="宋体"/>
                <w:kern w:val="0"/>
                <w:sz w:val="18"/>
                <w:szCs w:val="18"/>
                <w:lang w:eastAsia="zh-CN"/>
              </w:rPr>
              <w:t>各</w:t>
            </w:r>
            <w:r>
              <w:rPr>
                <w:rFonts w:hint="eastAsia" w:ascii="宋体" w:hAnsi="宋体" w:eastAsia="宋体" w:cs="宋体"/>
                <w:kern w:val="0"/>
                <w:sz w:val="18"/>
                <w:szCs w:val="18"/>
              </w:rPr>
              <w:t>村公共事业的补助和实施等为民办实事项目的开展，提升</w:t>
            </w:r>
            <w:r>
              <w:rPr>
                <w:rFonts w:hint="eastAsia" w:ascii="宋体" w:hAnsi="宋体" w:eastAsia="宋体" w:cs="宋体"/>
                <w:kern w:val="0"/>
                <w:sz w:val="18"/>
                <w:szCs w:val="18"/>
                <w:lang w:eastAsia="zh-CN"/>
              </w:rPr>
              <w:t>各</w:t>
            </w:r>
            <w:r>
              <w:rPr>
                <w:rFonts w:hint="eastAsia" w:ascii="宋体" w:hAnsi="宋体" w:eastAsia="宋体" w:cs="宋体"/>
                <w:kern w:val="0"/>
                <w:sz w:val="18"/>
                <w:szCs w:val="18"/>
              </w:rPr>
              <w:t>村党组织服务群众能力；目标4：在所有村开办食堂，解决村级值班人员就餐问题，确保村干部干在村、吃在村、住在村。目标5：确保专项资金专款专用，监督管理使用好各项支出，发挥效益目标。</w:t>
            </w:r>
          </w:p>
        </w:tc>
        <w:tc>
          <w:tcPr>
            <w:tcW w:w="3160"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年初预算资金90万元，当年财政拨款资金90万元，全年执行数90万元，执行率100%，</w:t>
            </w:r>
            <w:r>
              <w:rPr>
                <w:rFonts w:hint="eastAsia" w:ascii="宋体" w:hAnsi="宋体" w:eastAsia="宋体" w:cs="宋体"/>
                <w:kern w:val="0"/>
                <w:sz w:val="18"/>
                <w:szCs w:val="18"/>
              </w:rPr>
              <w:t>确保专项资金专款专用，监督管理使用好各项支出，发挥效益目标。</w:t>
            </w:r>
          </w:p>
        </w:tc>
      </w:tr>
      <w:tr>
        <w:tblPrEx>
          <w:tblCellMar>
            <w:top w:w="0" w:type="dxa"/>
            <w:left w:w="108" w:type="dxa"/>
            <w:bottom w:w="0" w:type="dxa"/>
            <w:right w:w="108" w:type="dxa"/>
          </w:tblCellMar>
        </w:tblPrEx>
        <w:trPr>
          <w:trHeight w:val="605"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65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行政村社区数量</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个</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个</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6</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为民办实事件数</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38</w:t>
            </w:r>
            <w:r>
              <w:rPr>
                <w:rFonts w:hint="eastAsia" w:ascii="宋体" w:hAnsi="宋体" w:eastAsia="宋体" w:cs="宋体"/>
                <w:color w:val="000000"/>
                <w:kern w:val="0"/>
                <w:sz w:val="18"/>
                <w:szCs w:val="18"/>
              </w:rPr>
              <w:t>件</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38</w:t>
            </w:r>
            <w:r>
              <w:rPr>
                <w:rFonts w:hint="eastAsia" w:ascii="宋体" w:hAnsi="宋体" w:eastAsia="宋体" w:cs="宋体"/>
                <w:color w:val="000000"/>
                <w:kern w:val="0"/>
                <w:sz w:val="18"/>
                <w:szCs w:val="18"/>
              </w:rPr>
              <w:t>件</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6</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288"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行政村级食堂运转次数</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次/年</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r>
              <w:rPr>
                <w:rFonts w:hint="eastAsia" w:ascii="宋体" w:hAnsi="宋体" w:eastAsia="宋体" w:cs="宋体"/>
                <w:color w:val="000000"/>
                <w:kern w:val="0"/>
                <w:sz w:val="18"/>
                <w:szCs w:val="18"/>
              </w:rPr>
              <w:t>次/年</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6</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村、社区运转正常保证率</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≥95%</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21"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5</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为民办实事覆盖率</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≥95%</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6</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资金及时发放率</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100%</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21"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5</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村、社区运转经费</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35</w:t>
            </w:r>
            <w:r>
              <w:rPr>
                <w:rFonts w:hint="eastAsia" w:ascii="宋体" w:hAnsi="宋体" w:eastAsia="宋体" w:cs="宋体"/>
                <w:color w:val="000000"/>
                <w:kern w:val="0"/>
                <w:sz w:val="18"/>
                <w:szCs w:val="18"/>
              </w:rPr>
              <w:t>万元</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35</w:t>
            </w:r>
            <w:r>
              <w:rPr>
                <w:rFonts w:hint="eastAsia" w:ascii="宋体" w:hAnsi="宋体" w:eastAsia="宋体" w:cs="宋体"/>
                <w:color w:val="000000"/>
                <w:kern w:val="0"/>
                <w:sz w:val="18"/>
                <w:szCs w:val="18"/>
              </w:rPr>
              <w:t>万元</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6</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6</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村伙食补助</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30</w:t>
            </w:r>
            <w:r>
              <w:rPr>
                <w:rFonts w:hint="eastAsia" w:ascii="宋体" w:hAnsi="宋体" w:eastAsia="宋体" w:cs="宋体"/>
                <w:color w:val="000000"/>
                <w:kern w:val="0"/>
                <w:sz w:val="18"/>
                <w:szCs w:val="18"/>
              </w:rPr>
              <w:t>万元</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30</w:t>
            </w:r>
            <w:r>
              <w:rPr>
                <w:rFonts w:hint="eastAsia" w:ascii="宋体" w:hAnsi="宋体" w:eastAsia="宋体" w:cs="宋体"/>
                <w:color w:val="000000"/>
                <w:kern w:val="0"/>
                <w:sz w:val="18"/>
                <w:szCs w:val="18"/>
              </w:rPr>
              <w:t>万元</w:t>
            </w:r>
          </w:p>
        </w:tc>
        <w:tc>
          <w:tcPr>
            <w:tcW w:w="521"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5</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村、社区为民办事经费</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w:t>
            </w:r>
            <w:r>
              <w:rPr>
                <w:rFonts w:hint="eastAsia" w:ascii="宋体" w:hAnsi="宋体" w:eastAsia="宋体" w:cs="宋体"/>
                <w:color w:val="000000"/>
                <w:kern w:val="0"/>
                <w:sz w:val="18"/>
                <w:szCs w:val="18"/>
                <w:lang w:val="en-US" w:eastAsia="zh-CN"/>
              </w:rPr>
              <w:t>25</w:t>
            </w:r>
            <w:r>
              <w:rPr>
                <w:rFonts w:hint="eastAsia" w:ascii="宋体" w:hAnsi="宋体" w:eastAsia="宋体" w:cs="宋体"/>
                <w:color w:val="000000"/>
                <w:kern w:val="0"/>
                <w:sz w:val="18"/>
                <w:szCs w:val="18"/>
              </w:rPr>
              <w:t>万元</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25</w:t>
            </w:r>
            <w:r>
              <w:rPr>
                <w:rFonts w:hint="eastAsia" w:ascii="宋体" w:hAnsi="宋体" w:eastAsia="宋体" w:cs="宋体"/>
                <w:color w:val="000000"/>
                <w:kern w:val="0"/>
                <w:sz w:val="18"/>
                <w:szCs w:val="18"/>
              </w:rPr>
              <w:t>万元</w:t>
            </w:r>
          </w:p>
        </w:tc>
        <w:tc>
          <w:tcPr>
            <w:tcW w:w="521" w:type="dxa"/>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5</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5</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社会效益</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村社区环境改善水平</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明显提高</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98%</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10</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9.8</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社区环境影响，还需加大力度</w:t>
            </w:r>
          </w:p>
        </w:tc>
      </w:tr>
      <w:tr>
        <w:tblPrEx>
          <w:tblCellMar>
            <w:top w:w="0" w:type="dxa"/>
            <w:left w:w="108" w:type="dxa"/>
            <w:bottom w:w="0" w:type="dxa"/>
            <w:right w:w="108" w:type="dxa"/>
          </w:tblCellMar>
        </w:tblPrEx>
        <w:trPr>
          <w:trHeight w:val="45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村级食堂伙食改善</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明显改善</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97%</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10</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9.7</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eastAsia="zh-CN"/>
              </w:rPr>
            </w:pPr>
            <w:r>
              <w:rPr>
                <w:rFonts w:hint="eastAsia" w:ascii="宋体" w:hAnsi="宋体" w:eastAsia="宋体" w:cs="宋体"/>
                <w:color w:val="000000"/>
                <w:kern w:val="0"/>
                <w:sz w:val="18"/>
                <w:szCs w:val="18"/>
                <w:lang w:eastAsia="zh-CN"/>
              </w:rPr>
              <w:t>厨师水平还需提高</w:t>
            </w:r>
          </w:p>
        </w:tc>
      </w:tr>
      <w:tr>
        <w:tblPrEx>
          <w:tblCellMar>
            <w:top w:w="0" w:type="dxa"/>
            <w:left w:w="108" w:type="dxa"/>
            <w:bottom w:w="0" w:type="dxa"/>
            <w:right w:w="108" w:type="dxa"/>
          </w:tblCellMar>
        </w:tblPrEx>
        <w:trPr>
          <w:trHeight w:val="507"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可持续影</w:t>
            </w:r>
            <w:bookmarkStart w:id="0" w:name="_GoBack"/>
            <w:bookmarkEnd w:id="0"/>
            <w:r>
              <w:rPr>
                <w:rFonts w:hint="eastAsia" w:ascii="宋体" w:hAnsi="宋体" w:eastAsia="宋体" w:cs="宋体"/>
                <w:kern w:val="0"/>
                <w:sz w:val="18"/>
                <w:szCs w:val="18"/>
              </w:rPr>
              <w:t>响指标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项目持续时间</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1年</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bidi="ar-SA"/>
              </w:rPr>
              <w:t>10</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行政村、社区干部满意度</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≥98%</w:t>
            </w:r>
          </w:p>
        </w:tc>
        <w:tc>
          <w:tcPr>
            <w:tcW w:w="655"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val="en-US" w:eastAsia="zh-CN" w:bidi="ar-SA"/>
              </w:rPr>
            </w:pPr>
            <w:r>
              <w:rPr>
                <w:rFonts w:hint="eastAsia" w:ascii="宋体" w:hAnsi="宋体" w:eastAsia="宋体" w:cs="宋体"/>
                <w:color w:val="000000"/>
                <w:kern w:val="0"/>
                <w:sz w:val="18"/>
                <w:szCs w:val="18"/>
                <w:lang w:val="en-US" w:eastAsia="zh-CN"/>
              </w:rPr>
              <w:t>10</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10</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lang w:eastAsia="zh-CN"/>
              </w:rPr>
              <w:t>无</w:t>
            </w:r>
          </w:p>
        </w:tc>
      </w:tr>
      <w:tr>
        <w:tblPrEx>
          <w:tblCellMar>
            <w:top w:w="0" w:type="dxa"/>
            <w:left w:w="108" w:type="dxa"/>
            <w:bottom w:w="0" w:type="dxa"/>
            <w:right w:w="108" w:type="dxa"/>
          </w:tblCellMar>
        </w:tblPrEx>
        <w:trPr>
          <w:trHeight w:val="656"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农牧民满意度</w:t>
            </w:r>
          </w:p>
        </w:tc>
        <w:tc>
          <w:tcPr>
            <w:tcW w:w="1092" w:type="dxa"/>
            <w:tcBorders>
              <w:top w:val="nil"/>
              <w:left w:val="nil"/>
              <w:bottom w:val="single" w:color="auto" w:sz="4" w:space="0"/>
              <w:right w:val="single" w:color="auto" w:sz="4" w:space="0"/>
            </w:tcBorders>
            <w:vAlign w:val="top"/>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rPr>
              <w:t>≥95%</w:t>
            </w:r>
          </w:p>
        </w:tc>
        <w:tc>
          <w:tcPr>
            <w:tcW w:w="655" w:type="dxa"/>
            <w:tcBorders>
              <w:top w:val="nil"/>
              <w:left w:val="nil"/>
              <w:bottom w:val="single" w:color="auto" w:sz="4" w:space="0"/>
              <w:right w:val="single" w:color="auto" w:sz="4" w:space="0"/>
            </w:tcBorders>
            <w:vAlign w:val="top"/>
          </w:tcPr>
          <w:p>
            <w:pPr>
              <w:spacing w:beforeLines="0" w:afterLines="0"/>
              <w:jc w:val="center"/>
              <w:rPr>
                <w:rFonts w:hint="eastAsia" w:ascii="宋体" w:hAnsi="宋体" w:eastAsia="仿宋_GB2312" w:cs="Times New Roman"/>
                <w:color w:val="000000"/>
                <w:kern w:val="2"/>
                <w:sz w:val="24"/>
                <w:szCs w:val="24"/>
                <w:lang w:val="en-US" w:eastAsia="zh-CN" w:bidi="ar-SA"/>
              </w:rPr>
            </w:pPr>
            <w:r>
              <w:rPr>
                <w:rFonts w:hint="eastAsia" w:ascii="宋体" w:hAnsi="宋体" w:eastAsia="宋体" w:cs="宋体"/>
                <w:color w:val="000000"/>
                <w:kern w:val="0"/>
                <w:sz w:val="18"/>
                <w:szCs w:val="18"/>
                <w:lang w:val="en-US" w:eastAsia="zh-CN"/>
              </w:rPr>
              <w:t>100%</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color w:val="000000"/>
                <w:kern w:val="0"/>
                <w:sz w:val="18"/>
                <w:szCs w:val="18"/>
                <w:lang w:val="en-US" w:eastAsia="zh-CN"/>
              </w:rPr>
              <w:t>10</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color w:val="000000"/>
                <w:kern w:val="0"/>
                <w:sz w:val="18"/>
                <w:szCs w:val="18"/>
                <w:lang w:val="en-US" w:eastAsia="zh-CN"/>
              </w:rPr>
              <w:t>10</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无</w:t>
            </w:r>
          </w:p>
        </w:tc>
      </w:tr>
      <w:tr>
        <w:tblPrEx>
          <w:tblCellMar>
            <w:top w:w="0" w:type="dxa"/>
            <w:left w:w="108" w:type="dxa"/>
            <w:bottom w:w="0" w:type="dxa"/>
            <w:right w:w="108" w:type="dxa"/>
          </w:tblCellMar>
        </w:tblPrEx>
        <w:trPr>
          <w:trHeight w:val="300" w:hRule="exact"/>
          <w:jc w:val="center"/>
        </w:trPr>
        <w:tc>
          <w:tcPr>
            <w:tcW w:w="6575"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总分</w:t>
            </w:r>
          </w:p>
        </w:tc>
        <w:tc>
          <w:tcPr>
            <w:tcW w:w="52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677" w:type="dxa"/>
            <w:gridSpan w:val="2"/>
            <w:tcBorders>
              <w:top w:val="nil"/>
              <w:left w:val="nil"/>
              <w:bottom w:val="single" w:color="auto" w:sz="4" w:space="0"/>
              <w:right w:val="single" w:color="auto" w:sz="4" w:space="0"/>
            </w:tcBorders>
            <w:vAlign w:val="center"/>
          </w:tcPr>
          <w:p>
            <w:pPr>
              <w:widowControl/>
              <w:spacing w:line="240" w:lineRule="exact"/>
              <w:jc w:val="both"/>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99.5</w:t>
            </w:r>
          </w:p>
        </w:tc>
        <w:tc>
          <w:tcPr>
            <w:tcW w:w="13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rPr>
          <w:rFonts w:hint="eastAsia" w:ascii="黑体" w:hAnsi="黑体" w:eastAsia="黑体"/>
          <w:lang w:eastAsia="zh-CN"/>
        </w:rPr>
      </w:pPr>
      <w:r>
        <w:rPr>
          <w:rFonts w:hint="eastAsia" w:ascii="黑体" w:hAnsi="黑体" w:eastAsia="黑体"/>
        </w:rPr>
        <w:t>附2</w:t>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numPr>
          <w:ilvl w:val="0"/>
          <w:numId w:val="1"/>
        </w:numPr>
        <w:spacing w:line="600" w:lineRule="exact"/>
        <w:ind w:firstLine="600" w:firstLineChars="200"/>
        <w:rPr>
          <w:rFonts w:hint="default" w:ascii="黑体" w:hAnsi="黑体" w:eastAsia="黑体"/>
          <w:lang w:val="en-US" w:eastAsia="zh-CN"/>
        </w:rPr>
      </w:pPr>
      <w:r>
        <w:rPr>
          <w:rFonts w:hint="eastAsia" w:ascii="黑体" w:hAnsi="黑体" w:eastAsia="黑体"/>
        </w:rPr>
        <w:t>基本情况</w:t>
      </w:r>
    </w:p>
    <w:p>
      <w:pPr>
        <w:numPr>
          <w:ilvl w:val="0"/>
          <w:numId w:val="2"/>
        </w:numPr>
        <w:spacing w:line="600" w:lineRule="exact"/>
        <w:ind w:firstLine="600" w:firstLineChars="200"/>
        <w:outlineLvl w:val="0"/>
        <w:rPr>
          <w:rFonts w:hint="eastAsia" w:ascii="仿宋_GB2312"/>
        </w:rPr>
      </w:pPr>
      <w:r>
        <w:rPr>
          <w:rFonts w:hint="eastAsia" w:ascii="仿宋_GB2312"/>
        </w:rPr>
        <w:t>项目概况。</w:t>
      </w:r>
    </w:p>
    <w:p>
      <w:pPr>
        <w:snapToGrid w:val="0"/>
        <w:spacing w:line="600" w:lineRule="exact"/>
        <w:ind w:firstLine="600" w:firstLineChars="200"/>
        <w:rPr>
          <w:rFonts w:hint="eastAsia" w:ascii="仿宋_GB2312" w:eastAsia="仿宋_GB2312" w:cs="仿宋_GB2312"/>
          <w:sz w:val="30"/>
          <w:szCs w:val="30"/>
          <w:lang w:eastAsia="zh-CN"/>
        </w:rPr>
      </w:pPr>
      <w:r>
        <w:rPr>
          <w:rFonts w:hint="eastAsia" w:ascii="仿宋_GB2312"/>
          <w:lang w:val="en-US" w:eastAsia="zh-CN"/>
        </w:rPr>
        <w:t xml:space="preserve"> </w:t>
      </w:r>
      <w:r>
        <w:rPr>
          <w:rFonts w:hint="eastAsia" w:ascii="仿宋_GB2312" w:eastAsia="仿宋_GB2312" w:cs="仿宋_GB2312"/>
          <w:sz w:val="30"/>
          <w:szCs w:val="30"/>
          <w:lang w:val="en-US" w:eastAsia="zh-CN"/>
        </w:rPr>
        <w:t>巴音郭楞乡位于巴音布鲁克镇以西，距巴音布鲁克镇政府驻地48公里,距县城324公里，平均海拔2468米，东与巴音布鲁克镇相连，西与特克斯、巩留相连、北与新源接壤，南邻库车、轮台。东西长约130公里，南北宽约250公里。行政面积3571平方公里，可利用草场面积303万亩，森林面积11.2万亩。着重建设成规划科学、经济发展、功能完善、特色鲜明、宜居宜业，具有较强人口和产业聚集能力、能够发挥较强辐射带动作用的建制镇承担小城镇建设示范试点镇</w:t>
      </w:r>
      <w:r>
        <w:rPr>
          <w:rFonts w:hint="eastAsia" w:ascii="仿宋_GB2312" w:eastAsia="仿宋_GB2312" w:cs="仿宋_GB2312"/>
          <w:sz w:val="30"/>
          <w:szCs w:val="30"/>
        </w:rPr>
        <w:t>组织实施与管理职责</w:t>
      </w:r>
      <w:r>
        <w:rPr>
          <w:rFonts w:hint="eastAsia" w:ascii="仿宋_GB2312" w:cs="仿宋_GB2312"/>
          <w:sz w:val="30"/>
          <w:szCs w:val="30"/>
          <w:lang w:eastAsia="zh-CN"/>
        </w:rPr>
        <w:t>。</w:t>
      </w:r>
    </w:p>
    <w:p>
      <w:pPr>
        <w:numPr>
          <w:ilvl w:val="0"/>
          <w:numId w:val="2"/>
        </w:numPr>
        <w:spacing w:line="600" w:lineRule="exact"/>
        <w:ind w:left="0" w:leftChars="0" w:firstLine="600" w:firstLineChars="200"/>
        <w:rPr>
          <w:rFonts w:hint="eastAsia" w:ascii="仿宋_GB2312"/>
        </w:rPr>
      </w:pPr>
      <w:r>
        <w:rPr>
          <w:rFonts w:hint="eastAsia" w:ascii="仿宋_GB2312"/>
        </w:rPr>
        <w:t>项目绩效目标</w:t>
      </w:r>
    </w:p>
    <w:p>
      <w:pPr>
        <w:snapToGrid w:val="0"/>
        <w:spacing w:line="600" w:lineRule="exact"/>
        <w:ind w:firstLine="600" w:firstLineChars="200"/>
        <w:rPr>
          <w:rFonts w:hint="eastAsia" w:ascii="仿宋_GB2312" w:eastAsia="仿宋_GB2312" w:cs="仿宋_GB2312"/>
          <w:sz w:val="30"/>
          <w:szCs w:val="30"/>
          <w:lang w:val="en-US" w:eastAsia="zh-CN"/>
        </w:rPr>
      </w:pPr>
      <w:r>
        <w:rPr>
          <w:rFonts w:hint="eastAsia" w:ascii="仿宋_GB2312" w:cs="仿宋_GB2312"/>
          <w:sz w:val="30"/>
          <w:szCs w:val="30"/>
          <w:lang w:val="en-US" w:eastAsia="zh-CN"/>
        </w:rPr>
        <w:t>总体</w:t>
      </w:r>
      <w:r>
        <w:rPr>
          <w:rFonts w:hint="eastAsia" w:ascii="仿宋_GB2312" w:eastAsia="仿宋_GB2312" w:cs="仿宋_GB2312"/>
          <w:sz w:val="30"/>
          <w:szCs w:val="30"/>
          <w:lang w:val="en-US" w:eastAsia="zh-CN"/>
        </w:rPr>
        <w:t>目标1：制定和组织实施乡镇经济、科技和社会发展计划，制定资源开发技术改造和产业结构调整方案，组织指导好各村的经济发展、社会管理综合治理、环境卫生整治等。目标2：保障</w:t>
      </w:r>
      <w:r>
        <w:rPr>
          <w:rFonts w:hint="eastAsia" w:ascii="仿宋_GB2312" w:cs="仿宋_GB2312"/>
          <w:sz w:val="30"/>
          <w:szCs w:val="30"/>
          <w:lang w:val="en-US" w:eastAsia="zh-CN"/>
        </w:rPr>
        <w:t>各</w:t>
      </w:r>
      <w:r>
        <w:rPr>
          <w:rFonts w:hint="eastAsia" w:ascii="仿宋_GB2312" w:eastAsia="仿宋_GB2312" w:cs="仿宋_GB2312"/>
          <w:sz w:val="30"/>
          <w:szCs w:val="30"/>
          <w:lang w:val="en-US" w:eastAsia="zh-CN"/>
        </w:rPr>
        <w:t>村正常运转，巩固农村基层政权；目标3：通过村</w:t>
      </w:r>
      <w:r>
        <w:rPr>
          <w:rFonts w:hint="eastAsia" w:ascii="仿宋_GB2312" w:cs="仿宋_GB2312"/>
          <w:sz w:val="30"/>
          <w:szCs w:val="30"/>
          <w:lang w:val="en-US" w:eastAsia="zh-CN"/>
        </w:rPr>
        <w:t>级</w:t>
      </w:r>
      <w:r>
        <w:rPr>
          <w:rFonts w:hint="eastAsia" w:ascii="仿宋_GB2312" w:eastAsia="仿宋_GB2312" w:cs="仿宋_GB2312"/>
          <w:sz w:val="30"/>
          <w:szCs w:val="30"/>
          <w:lang w:val="en-US" w:eastAsia="zh-CN"/>
        </w:rPr>
        <w:t>党组织惠民政策的实施、村党建服务品牌建设、公共事业的补助和实施等为民办实事项目的开展，提升</w:t>
      </w:r>
      <w:r>
        <w:rPr>
          <w:rFonts w:hint="eastAsia" w:ascii="仿宋_GB2312" w:cs="仿宋_GB2312"/>
          <w:sz w:val="30"/>
          <w:szCs w:val="30"/>
          <w:lang w:val="en-US" w:eastAsia="zh-CN"/>
        </w:rPr>
        <w:t>各</w:t>
      </w:r>
      <w:r>
        <w:rPr>
          <w:rFonts w:hint="eastAsia" w:ascii="仿宋_GB2312" w:eastAsia="仿宋_GB2312" w:cs="仿宋_GB2312"/>
          <w:sz w:val="30"/>
          <w:szCs w:val="30"/>
          <w:lang w:val="en-US" w:eastAsia="zh-CN"/>
        </w:rPr>
        <w:t>村党组织服务群众能力；目标4：在所有村开办食堂，解决村级值班人员就餐问题，确保村干部干在村、吃在村、住在村。目标5：确保专项资金专款专用，监督管理使用好各项支出，发挥效益目标。</w:t>
      </w:r>
    </w:p>
    <w:p>
      <w:pPr>
        <w:snapToGrid w:val="0"/>
        <w:spacing w:line="600" w:lineRule="exact"/>
        <w:ind w:firstLine="600" w:firstLineChars="200"/>
        <w:rPr>
          <w:rFonts w:hint="default" w:ascii="仿宋_GB2312" w:eastAsia="仿宋_GB2312" w:cs="仿宋_GB2312"/>
          <w:sz w:val="30"/>
          <w:szCs w:val="30"/>
          <w:lang w:val="en-US" w:eastAsia="zh-CN"/>
        </w:rPr>
      </w:pPr>
      <w:r>
        <w:rPr>
          <w:rFonts w:hint="eastAsia" w:ascii="仿宋_GB2312" w:cs="仿宋_GB2312"/>
          <w:sz w:val="30"/>
          <w:szCs w:val="30"/>
          <w:lang w:val="en-US" w:eastAsia="zh-CN"/>
        </w:rPr>
        <w:t>阶段性目标：保证基层组织建设正常运转所需，按照预算支付进度实施。</w:t>
      </w:r>
    </w:p>
    <w:p>
      <w:pPr>
        <w:spacing w:line="600" w:lineRule="exact"/>
        <w:ind w:firstLine="600" w:firstLineChars="200"/>
        <w:rPr>
          <w:rFonts w:ascii="黑体" w:hAnsi="黑体" w:eastAsia="黑体"/>
        </w:rPr>
      </w:pPr>
      <w:r>
        <w:rPr>
          <w:rFonts w:hint="eastAsia" w:ascii="黑体" w:hAnsi="黑体" w:eastAsia="黑体"/>
        </w:rPr>
        <w:t>二、绩效评价工作开展情况</w:t>
      </w:r>
    </w:p>
    <w:p>
      <w:pPr>
        <w:spacing w:line="600" w:lineRule="exact"/>
        <w:ind w:firstLine="600" w:firstLineChars="200"/>
        <w:rPr>
          <w:rFonts w:hint="eastAsia" w:ascii="仿宋_GB2312"/>
        </w:rPr>
      </w:pPr>
      <w:r>
        <w:rPr>
          <w:rFonts w:hint="eastAsia" w:ascii="仿宋_GB2312"/>
        </w:rPr>
        <w:t>（一）绩效评价目的、对象和范围。</w:t>
      </w:r>
    </w:p>
    <w:p>
      <w:pPr>
        <w:pBdr>
          <w:bottom w:val="single" w:color="FFFFFF" w:sz="4" w:space="31"/>
        </w:pBdr>
        <w:spacing w:line="560" w:lineRule="exact"/>
        <w:ind w:firstLine="600" w:firstLineChars="200"/>
        <w:textAlignment w:val="top"/>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专项支出</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万元，其中：村级运转经费</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万元、为民办事资金</w:t>
      </w:r>
      <w:r>
        <w:rPr>
          <w:rFonts w:hint="eastAsia" w:ascii="仿宋_GB2312" w:cs="仿宋_GB2312"/>
          <w:sz w:val="30"/>
          <w:szCs w:val="30"/>
          <w:lang w:val="en-US" w:eastAsia="zh-CN"/>
        </w:rPr>
        <w:t>25</w:t>
      </w:r>
      <w:r>
        <w:rPr>
          <w:rFonts w:hint="eastAsia" w:ascii="仿宋_GB2312" w:eastAsia="仿宋_GB2312" w:cs="仿宋_GB2312"/>
          <w:sz w:val="30"/>
          <w:szCs w:val="30"/>
          <w:lang w:val="en-US" w:eastAsia="zh-CN"/>
        </w:rPr>
        <w:t>万元、村级伙食补助</w:t>
      </w:r>
      <w:r>
        <w:rPr>
          <w:rFonts w:hint="eastAsia" w:ascii="仿宋_GB2312" w:cs="仿宋_GB2312"/>
          <w:sz w:val="30"/>
          <w:szCs w:val="30"/>
          <w:lang w:val="en-US" w:eastAsia="zh-CN"/>
        </w:rPr>
        <w:t>30</w:t>
      </w:r>
      <w:r>
        <w:rPr>
          <w:rFonts w:hint="eastAsia" w:ascii="仿宋_GB2312" w:eastAsia="仿宋_GB2312" w:cs="仿宋_GB2312"/>
          <w:sz w:val="30"/>
          <w:szCs w:val="30"/>
          <w:lang w:val="en-US" w:eastAsia="zh-CN"/>
        </w:rPr>
        <w:t>万元、公共事业卫生事业费</w:t>
      </w:r>
      <w:r>
        <w:rPr>
          <w:rFonts w:hint="eastAsia" w:ascii="仿宋_GB2312" w:cs="仿宋_GB2312"/>
          <w:sz w:val="30"/>
          <w:szCs w:val="30"/>
          <w:lang w:val="en-US" w:eastAsia="zh-CN"/>
        </w:rPr>
        <w:t>3</w:t>
      </w:r>
      <w:r>
        <w:rPr>
          <w:rFonts w:hint="eastAsia" w:ascii="仿宋_GB2312" w:eastAsia="仿宋_GB2312" w:cs="仿宋_GB2312"/>
          <w:sz w:val="30"/>
          <w:szCs w:val="30"/>
          <w:lang w:val="en-US" w:eastAsia="zh-CN"/>
        </w:rPr>
        <w:t>5万元，截止2019年12月，到位资金</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万元，执行数</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万元，执行率100%。认真落实节约、压缩一般性支出要求，坚持勤俭节约，反对奢侈浪费，按制度办事。资金使用及时，充分发挥经济效益、社会效益，绩效目标完成较好。 </w:t>
      </w:r>
    </w:p>
    <w:p>
      <w:pPr>
        <w:pBdr>
          <w:bottom w:val="single" w:color="FFFFFF" w:sz="4" w:space="31"/>
        </w:pBdr>
        <w:spacing w:line="560" w:lineRule="exact"/>
        <w:ind w:firstLine="600" w:firstLineChars="200"/>
        <w:textAlignment w:val="top"/>
        <w:rPr>
          <w:rFonts w:hint="default" w:ascii="仿宋_GB2312" w:hAnsi="Times New Roman" w:eastAsia="仿宋_GB2312" w:cs="仿宋_GB2312"/>
          <w:kern w:val="2"/>
          <w:sz w:val="30"/>
          <w:szCs w:val="30"/>
          <w:lang w:val="en-US" w:eastAsia="zh-CN" w:bidi="ar-SA"/>
        </w:rPr>
      </w:pPr>
      <w:r>
        <w:rPr>
          <w:rFonts w:hint="eastAsia" w:ascii="仿宋_GB2312"/>
        </w:rPr>
        <w:t>（二）</w:t>
      </w:r>
      <w:r>
        <w:rPr>
          <w:rFonts w:hint="eastAsia" w:ascii="仿宋_GB2312" w:cs="仿宋_GB2312"/>
          <w:kern w:val="2"/>
          <w:sz w:val="30"/>
          <w:szCs w:val="30"/>
          <w:lang w:val="en-US" w:eastAsia="zh-CN" w:bidi="ar-SA"/>
        </w:rPr>
        <w:t>1、</w:t>
      </w:r>
      <w:r>
        <w:rPr>
          <w:rFonts w:hint="eastAsia" w:ascii="仿宋_GB2312" w:hAnsi="Times New Roman" w:eastAsia="仿宋_GB2312" w:cs="仿宋_GB2312"/>
          <w:kern w:val="2"/>
          <w:sz w:val="30"/>
          <w:szCs w:val="30"/>
          <w:lang w:val="en-US" w:eastAsia="zh-CN" w:bidi="ar-SA"/>
        </w:rPr>
        <w:t>绩效评价原则、坚持“客观、公正、公开、规范”，增强绩效评价的科学性和透明度。坚持效率优先，安排项目时提出明确的绩效目标。坚持预算安排与绩效评价结果相结合，切实提高资金使用效益。</w:t>
      </w:r>
      <w:r>
        <w:rPr>
          <w:rFonts w:hint="eastAsia" w:ascii="仿宋_GB2312" w:cs="仿宋_GB2312"/>
          <w:kern w:val="2"/>
          <w:sz w:val="30"/>
          <w:szCs w:val="30"/>
          <w:lang w:val="en-US" w:eastAsia="zh-CN" w:bidi="ar-SA"/>
        </w:rPr>
        <w:t>2、</w:t>
      </w:r>
      <w:r>
        <w:rPr>
          <w:rFonts w:hint="eastAsia" w:ascii="仿宋_GB2312"/>
        </w:rPr>
        <w:t>评价指标体系</w:t>
      </w:r>
      <w:r>
        <w:rPr>
          <w:rFonts w:hint="eastAsia" w:ascii="仿宋_GB2312"/>
          <w:lang w:val="en-US" w:eastAsia="zh-CN"/>
        </w:rPr>
        <w:t>,</w:t>
      </w:r>
      <w:r>
        <w:rPr>
          <w:rFonts w:hint="default" w:ascii="仿宋_GB2312" w:hAnsi="Times New Roman" w:eastAsia="仿宋_GB2312" w:cs="仿宋_GB2312"/>
          <w:kern w:val="2"/>
          <w:sz w:val="30"/>
          <w:szCs w:val="30"/>
          <w:lang w:val="en-US" w:eastAsia="zh-CN" w:bidi="ar-SA"/>
        </w:rPr>
        <w:t>完成数量。将考核的实际工作量与项目设计批复应该完成的工作量进行对比，考核其实现程度。完成质量</w:t>
      </w:r>
      <w:r>
        <w:rPr>
          <w:rFonts w:hint="eastAsia" w:ascii="仿宋_GB2312" w:cs="仿宋_GB2312"/>
          <w:kern w:val="2"/>
          <w:sz w:val="30"/>
          <w:szCs w:val="30"/>
          <w:lang w:val="en-US" w:eastAsia="zh-CN" w:bidi="ar-SA"/>
        </w:rPr>
        <w:t>,</w:t>
      </w:r>
      <w:r>
        <w:rPr>
          <w:rFonts w:hint="default" w:ascii="仿宋_GB2312" w:hAnsi="Times New Roman" w:eastAsia="仿宋_GB2312" w:cs="仿宋_GB2312"/>
          <w:kern w:val="2"/>
          <w:sz w:val="30"/>
          <w:szCs w:val="30"/>
          <w:lang w:val="en-US" w:eastAsia="zh-CN" w:bidi="ar-SA"/>
        </w:rPr>
        <w:t>根据国家、行业有关质量标准以及项目设计批复时的质量目标与考核实际工程质量状况相对比，考核其实现程度。完成进度、及时性。将项目实际工作进度与立项设计批复的进度进行对比，考核其进展程度和及时性。</w:t>
      </w:r>
      <w:r>
        <w:rPr>
          <w:rFonts w:hint="eastAsia" w:ascii="仿宋_GB2312"/>
          <w:lang w:val="en-US" w:eastAsia="zh-CN"/>
        </w:rPr>
        <w:t>3、</w:t>
      </w:r>
      <w:r>
        <w:rPr>
          <w:rFonts w:hint="eastAsia" w:ascii="仿宋_GB2312"/>
        </w:rPr>
        <w:t>评</w:t>
      </w:r>
      <w:r>
        <w:rPr>
          <w:rFonts w:hint="eastAsia" w:ascii="仿宋_GB2312" w:hAnsi="Times New Roman" w:eastAsia="仿宋_GB2312" w:cs="仿宋_GB2312"/>
          <w:kern w:val="2"/>
          <w:sz w:val="30"/>
          <w:szCs w:val="30"/>
          <w:lang w:val="en-US" w:eastAsia="zh-CN" w:bidi="ar-SA"/>
        </w:rPr>
        <w:t>价方法</w:t>
      </w:r>
      <w:r>
        <w:rPr>
          <w:rFonts w:hint="eastAsia" w:ascii="仿宋_GB2312" w:cs="仿宋_GB2312"/>
          <w:kern w:val="2"/>
          <w:sz w:val="30"/>
          <w:szCs w:val="30"/>
          <w:lang w:val="en-US" w:eastAsia="zh-CN" w:bidi="ar-SA"/>
        </w:rPr>
        <w:t>，</w:t>
      </w:r>
      <w:r>
        <w:rPr>
          <w:rFonts w:hint="eastAsia" w:ascii="仿宋_GB2312" w:hAnsi="Times New Roman" w:eastAsia="仿宋_GB2312" w:cs="仿宋_GB2312"/>
          <w:kern w:val="2"/>
          <w:sz w:val="30"/>
          <w:szCs w:val="30"/>
          <w:lang w:val="en-US" w:eastAsia="zh-CN" w:bidi="ar-SA"/>
        </w:rPr>
        <w:t>因素分析法是指将一定时期内的支出与效益进行对比分析以评价绩效目标实现程度。</w:t>
      </w:r>
      <w:r>
        <w:rPr>
          <w:rFonts w:hint="eastAsia" w:ascii="仿宋_GB2312" w:cs="仿宋_GB2312"/>
          <w:kern w:val="2"/>
          <w:sz w:val="30"/>
          <w:szCs w:val="30"/>
          <w:lang w:val="en-US" w:eastAsia="zh-CN" w:bidi="ar-SA"/>
        </w:rPr>
        <w:t>4、评价标准，按照</w:t>
      </w:r>
      <w:r>
        <w:rPr>
          <w:rFonts w:hint="eastAsia" w:ascii="仿宋_GB2312" w:hAnsi="Times New Roman" w:eastAsia="仿宋_GB2312" w:cs="仿宋_GB2312"/>
          <w:kern w:val="2"/>
          <w:sz w:val="30"/>
          <w:szCs w:val="30"/>
          <w:lang w:val="en-US" w:eastAsia="zh-CN" w:bidi="ar-SA"/>
        </w:rPr>
        <w:t>计划标准</w:t>
      </w:r>
      <w:r>
        <w:rPr>
          <w:rFonts w:hint="eastAsia" w:ascii="仿宋_GB2312" w:cs="仿宋_GB2312"/>
          <w:kern w:val="2"/>
          <w:sz w:val="30"/>
          <w:szCs w:val="30"/>
          <w:lang w:val="en-US" w:eastAsia="zh-CN" w:bidi="ar-SA"/>
        </w:rPr>
        <w:t>评价，</w:t>
      </w:r>
      <w:r>
        <w:rPr>
          <w:rFonts w:hint="eastAsia" w:ascii="仿宋_GB2312" w:hAnsi="Times New Roman" w:eastAsia="仿宋_GB2312" w:cs="仿宋_GB2312"/>
          <w:kern w:val="2"/>
          <w:sz w:val="30"/>
          <w:szCs w:val="30"/>
          <w:lang w:val="en-US" w:eastAsia="zh-CN" w:bidi="ar-SA"/>
        </w:rPr>
        <w:t>预先制定的目标、计划、预算、定额等数据作为评价的标准。</w:t>
      </w:r>
    </w:p>
    <w:p>
      <w:pPr>
        <w:pBdr>
          <w:bottom w:val="single" w:color="FFFFFF" w:sz="4" w:space="31"/>
        </w:pBdr>
        <w:spacing w:line="560" w:lineRule="exact"/>
        <w:ind w:firstLine="600" w:firstLineChars="200"/>
        <w:textAlignment w:val="top"/>
        <w:rPr>
          <w:rFonts w:hint="eastAsia" w:ascii="仿宋_GB2312" w:eastAsia="仿宋_GB2312" w:cs="仿宋_GB2312"/>
          <w:sz w:val="30"/>
          <w:szCs w:val="30"/>
          <w:lang w:val="en-US" w:eastAsia="zh-CN"/>
        </w:rPr>
      </w:pPr>
      <w:r>
        <w:rPr>
          <w:rFonts w:hint="eastAsia" w:ascii="仿宋_GB2312"/>
        </w:rPr>
        <w:t>（</w:t>
      </w:r>
      <w:r>
        <w:rPr>
          <w:rFonts w:hint="eastAsia" w:ascii="仿宋_GB2312" w:eastAsia="仿宋_GB2312" w:cs="仿宋_GB2312"/>
          <w:sz w:val="30"/>
          <w:szCs w:val="30"/>
          <w:lang w:val="en-US" w:eastAsia="zh-CN"/>
        </w:rPr>
        <w:t>三）绩效评价工作过程。和静县</w:t>
      </w:r>
      <w:r>
        <w:rPr>
          <w:rFonts w:hint="eastAsia" w:ascii="仿宋_GB2312" w:cs="仿宋_GB2312"/>
          <w:sz w:val="30"/>
          <w:szCs w:val="30"/>
          <w:lang w:val="en-US" w:eastAsia="zh-CN"/>
        </w:rPr>
        <w:t>巴音郭楞乡</w:t>
      </w:r>
      <w:r>
        <w:rPr>
          <w:rFonts w:hint="eastAsia" w:ascii="仿宋_GB2312" w:eastAsia="仿宋_GB2312" w:cs="仿宋_GB2312"/>
          <w:sz w:val="30"/>
          <w:szCs w:val="30"/>
          <w:lang w:val="en-US" w:eastAsia="zh-CN"/>
        </w:rPr>
        <w:t>人民政府作为项目承担单位负责项目变更审批、项目合同段验收、项目实施的监督检查和各方协调、财务决算审计等工作；项目所在地和静县巴</w:t>
      </w:r>
      <w:r>
        <w:rPr>
          <w:rFonts w:hint="eastAsia" w:ascii="仿宋_GB2312" w:cs="仿宋_GB2312"/>
          <w:sz w:val="30"/>
          <w:szCs w:val="30"/>
          <w:lang w:val="en-US" w:eastAsia="zh-CN"/>
        </w:rPr>
        <w:t>音郭楞乡</w:t>
      </w:r>
      <w:r>
        <w:rPr>
          <w:rFonts w:hint="eastAsia" w:ascii="仿宋_GB2312" w:eastAsia="仿宋_GB2312" w:cs="仿宋_GB2312"/>
          <w:sz w:val="30"/>
          <w:szCs w:val="30"/>
          <w:lang w:val="en-US" w:eastAsia="zh-CN"/>
        </w:rPr>
        <w:t>人民政府作为实施单位负责项目的具体实施工作、分部验收工作等工作。</w:t>
      </w:r>
    </w:p>
    <w:p>
      <w:pPr>
        <w:pBdr>
          <w:bottom w:val="single" w:color="FFFFFF" w:sz="4" w:space="31"/>
        </w:pBdr>
        <w:spacing w:line="560" w:lineRule="exact"/>
        <w:ind w:firstLine="600" w:firstLineChars="200"/>
        <w:textAlignment w:val="top"/>
        <w:rPr>
          <w:rFonts w:hint="eastAsia" w:ascii="仿宋_GB2312" w:eastAsia="仿宋_GB2312" w:cs="仿宋_GB2312"/>
          <w:sz w:val="30"/>
          <w:szCs w:val="30"/>
          <w:lang w:val="en-US" w:eastAsia="zh-CN"/>
        </w:rPr>
      </w:pPr>
      <w:r>
        <w:rPr>
          <w:rFonts w:hint="eastAsia" w:ascii="仿宋_GB2312" w:eastAsia="仿宋_GB2312" w:cs="仿宋_GB2312"/>
          <w:sz w:val="30"/>
          <w:szCs w:val="30"/>
          <w:lang w:val="en-US" w:eastAsia="zh-CN"/>
        </w:rPr>
        <w:t>项目专门成立了</w:t>
      </w:r>
      <w:r>
        <w:rPr>
          <w:rFonts w:hint="eastAsia" w:ascii="仿宋_GB2312" w:cs="仿宋_GB2312"/>
          <w:sz w:val="30"/>
          <w:szCs w:val="30"/>
          <w:lang w:val="en-US" w:eastAsia="zh-CN"/>
        </w:rPr>
        <w:t>绩效评价</w:t>
      </w:r>
      <w:r>
        <w:rPr>
          <w:rFonts w:hint="eastAsia" w:ascii="仿宋_GB2312" w:eastAsia="仿宋_GB2312" w:cs="仿宋_GB2312"/>
          <w:sz w:val="30"/>
          <w:szCs w:val="30"/>
          <w:lang w:val="en-US" w:eastAsia="zh-CN"/>
        </w:rPr>
        <w:t>领导小组，负责在实施过程中的协调和重大事项的审批工作，领导小组由分管项目工作的领导担任组长， 成员由项目所在地政府办公室、</w:t>
      </w:r>
      <w:r>
        <w:rPr>
          <w:rFonts w:hint="eastAsia" w:ascii="仿宋_GB2312" w:cs="仿宋_GB2312"/>
          <w:sz w:val="30"/>
          <w:szCs w:val="30"/>
          <w:lang w:val="en-US" w:eastAsia="zh-CN"/>
        </w:rPr>
        <w:t>农牧业发展中心</w:t>
      </w:r>
      <w:r>
        <w:rPr>
          <w:rFonts w:hint="eastAsia" w:ascii="仿宋_GB2312" w:eastAsia="仿宋_GB2312" w:cs="仿宋_GB2312"/>
          <w:sz w:val="30"/>
          <w:szCs w:val="30"/>
          <w:lang w:val="en-US" w:eastAsia="zh-CN"/>
        </w:rPr>
        <w:t>、</w:t>
      </w:r>
      <w:r>
        <w:rPr>
          <w:rFonts w:hint="eastAsia" w:ascii="仿宋_GB2312" w:cs="仿宋_GB2312"/>
          <w:sz w:val="30"/>
          <w:szCs w:val="30"/>
          <w:lang w:val="en-US" w:eastAsia="zh-CN"/>
        </w:rPr>
        <w:t>民政社会服务中心</w:t>
      </w:r>
      <w:r>
        <w:rPr>
          <w:rFonts w:hint="eastAsia" w:ascii="仿宋_GB2312" w:eastAsia="仿宋_GB2312" w:cs="仿宋_GB2312"/>
          <w:sz w:val="30"/>
          <w:szCs w:val="30"/>
          <w:lang w:val="en-US" w:eastAsia="zh-CN"/>
        </w:rPr>
        <w:t>、</w:t>
      </w:r>
      <w:r>
        <w:rPr>
          <w:rFonts w:hint="eastAsia" w:ascii="仿宋_GB2312" w:cs="仿宋_GB2312"/>
          <w:sz w:val="30"/>
          <w:szCs w:val="30"/>
          <w:lang w:val="en-US" w:eastAsia="zh-CN"/>
        </w:rPr>
        <w:t>扶贫办</w:t>
      </w:r>
      <w:r>
        <w:rPr>
          <w:rFonts w:hint="eastAsia" w:ascii="仿宋_GB2312" w:eastAsia="仿宋_GB2312" w:cs="仿宋_GB2312"/>
          <w:sz w:val="30"/>
          <w:szCs w:val="30"/>
          <w:lang w:val="en-US" w:eastAsia="zh-CN"/>
        </w:rPr>
        <w:t>等单位组成</w:t>
      </w:r>
      <w:r>
        <w:rPr>
          <w:rFonts w:hint="eastAsia" w:ascii="仿宋_GB2312" w:cs="仿宋_GB2312"/>
          <w:sz w:val="30"/>
          <w:szCs w:val="30"/>
          <w:lang w:val="en-US" w:eastAsia="zh-CN"/>
        </w:rPr>
        <w:t>。</w:t>
      </w:r>
    </w:p>
    <w:p>
      <w:pPr>
        <w:pBdr>
          <w:bottom w:val="single" w:color="FFFFFF" w:sz="4" w:space="31"/>
        </w:pBdr>
        <w:spacing w:line="560" w:lineRule="exact"/>
        <w:ind w:firstLine="600" w:firstLineChars="200"/>
        <w:textAlignment w:val="top"/>
        <w:rPr>
          <w:rFonts w:hint="eastAsia" w:ascii="仿宋_GB2312"/>
        </w:rPr>
      </w:pPr>
      <w:r>
        <w:rPr>
          <w:rFonts w:hint="eastAsia" w:ascii="黑体" w:hAnsi="黑体" w:eastAsia="黑体"/>
          <w:lang w:val="en-US" w:eastAsia="zh-CN"/>
        </w:rPr>
        <w:t>三、</w:t>
      </w:r>
      <w:r>
        <w:rPr>
          <w:rFonts w:hint="eastAsia" w:ascii="黑体" w:hAnsi="黑体" w:eastAsia="黑体"/>
        </w:rPr>
        <w:t>综合评价情况及评价结论</w:t>
      </w:r>
      <w:r>
        <w:rPr>
          <w:rFonts w:hint="eastAsia" w:ascii="仿宋_GB2312"/>
        </w:rPr>
        <w:t>（附相关评分表）</w:t>
      </w:r>
    </w:p>
    <w:p>
      <w:pPr>
        <w:pBdr>
          <w:bottom w:val="single" w:color="FFFFFF" w:sz="4" w:space="31"/>
        </w:pBdr>
        <w:spacing w:line="560" w:lineRule="exact"/>
        <w:ind w:firstLine="600" w:firstLineChars="200"/>
        <w:textAlignment w:val="top"/>
        <w:rPr>
          <w:rFonts w:ascii="黑体" w:hAnsi="黑体" w:eastAsia="黑体"/>
        </w:rPr>
      </w:pPr>
      <w:r>
        <w:rPr>
          <w:rFonts w:hint="eastAsia" w:ascii="黑体" w:hAnsi="黑体" w:eastAsia="黑体"/>
        </w:rPr>
        <w:t>四、绩效评价指标分析</w:t>
      </w:r>
    </w:p>
    <w:p>
      <w:pPr>
        <w:pBdr>
          <w:bottom w:val="single" w:color="FFFFFF" w:sz="4" w:space="31"/>
        </w:pBdr>
        <w:spacing w:line="560" w:lineRule="exact"/>
        <w:ind w:firstLine="600" w:firstLineChars="200"/>
        <w:textAlignment w:val="top"/>
        <w:rPr>
          <w:rFonts w:hint="eastAsia" w:ascii="仿宋_GB2312" w:eastAsia="仿宋_GB2312" w:cs="仿宋_GB2312"/>
          <w:sz w:val="30"/>
          <w:szCs w:val="30"/>
          <w:lang w:val="en-US" w:eastAsia="zh-CN"/>
        </w:rPr>
      </w:pPr>
      <w:r>
        <w:rPr>
          <w:rFonts w:hint="eastAsia" w:ascii="仿宋_GB2312"/>
        </w:rPr>
        <w:t>（一）项目决策情况。</w:t>
      </w:r>
      <w:r>
        <w:rPr>
          <w:rFonts w:hint="eastAsia" w:ascii="仿宋_GB2312" w:eastAsia="仿宋_GB2312" w:cs="仿宋_GB2312"/>
          <w:sz w:val="30"/>
          <w:szCs w:val="30"/>
          <w:lang w:val="en-US" w:eastAsia="zh-CN"/>
        </w:rPr>
        <w:t>项目专门成立了</w:t>
      </w:r>
      <w:r>
        <w:rPr>
          <w:rFonts w:hint="eastAsia" w:ascii="仿宋_GB2312" w:cs="仿宋_GB2312"/>
          <w:sz w:val="30"/>
          <w:szCs w:val="30"/>
          <w:lang w:val="en-US" w:eastAsia="zh-CN"/>
        </w:rPr>
        <w:t>绩效评价</w:t>
      </w:r>
      <w:r>
        <w:rPr>
          <w:rFonts w:hint="eastAsia" w:ascii="仿宋_GB2312" w:eastAsia="仿宋_GB2312" w:cs="仿宋_GB2312"/>
          <w:sz w:val="30"/>
          <w:szCs w:val="30"/>
          <w:lang w:val="en-US" w:eastAsia="zh-CN"/>
        </w:rPr>
        <w:t>领导小组，负责在实施过程中的协调和重大事项的审批工作，领导小组由分管项目工作的领导担任组长， 成员由项目所在地政府办公室、</w:t>
      </w:r>
      <w:r>
        <w:rPr>
          <w:rFonts w:hint="eastAsia" w:ascii="仿宋_GB2312" w:cs="仿宋_GB2312"/>
          <w:sz w:val="30"/>
          <w:szCs w:val="30"/>
          <w:lang w:val="en-US" w:eastAsia="zh-CN"/>
        </w:rPr>
        <w:t>农牧业发展中心</w:t>
      </w:r>
      <w:r>
        <w:rPr>
          <w:rFonts w:hint="eastAsia" w:ascii="仿宋_GB2312" w:eastAsia="仿宋_GB2312" w:cs="仿宋_GB2312"/>
          <w:sz w:val="30"/>
          <w:szCs w:val="30"/>
          <w:lang w:val="en-US" w:eastAsia="zh-CN"/>
        </w:rPr>
        <w:t>、</w:t>
      </w:r>
      <w:r>
        <w:rPr>
          <w:rFonts w:hint="eastAsia" w:ascii="仿宋_GB2312" w:cs="仿宋_GB2312"/>
          <w:sz w:val="30"/>
          <w:szCs w:val="30"/>
          <w:lang w:val="en-US" w:eastAsia="zh-CN"/>
        </w:rPr>
        <w:t>民政社会服务中心</w:t>
      </w:r>
      <w:r>
        <w:rPr>
          <w:rFonts w:hint="eastAsia" w:ascii="仿宋_GB2312" w:eastAsia="仿宋_GB2312" w:cs="仿宋_GB2312"/>
          <w:sz w:val="30"/>
          <w:szCs w:val="30"/>
          <w:lang w:val="en-US" w:eastAsia="zh-CN"/>
        </w:rPr>
        <w:t>、</w:t>
      </w:r>
      <w:r>
        <w:rPr>
          <w:rFonts w:hint="eastAsia" w:ascii="仿宋_GB2312" w:cs="仿宋_GB2312"/>
          <w:sz w:val="30"/>
          <w:szCs w:val="30"/>
          <w:lang w:val="en-US" w:eastAsia="zh-CN"/>
        </w:rPr>
        <w:t>扶贫办</w:t>
      </w:r>
      <w:r>
        <w:rPr>
          <w:rFonts w:hint="eastAsia" w:ascii="仿宋_GB2312" w:eastAsia="仿宋_GB2312" w:cs="仿宋_GB2312"/>
          <w:sz w:val="30"/>
          <w:szCs w:val="30"/>
          <w:lang w:val="en-US" w:eastAsia="zh-CN"/>
        </w:rPr>
        <w:t>等单位组成</w:t>
      </w:r>
      <w:r>
        <w:rPr>
          <w:rFonts w:hint="eastAsia" w:ascii="仿宋_GB2312" w:cs="仿宋_GB2312"/>
          <w:sz w:val="30"/>
          <w:szCs w:val="30"/>
          <w:lang w:val="en-US" w:eastAsia="zh-CN"/>
        </w:rPr>
        <w:t>。</w:t>
      </w:r>
    </w:p>
    <w:p>
      <w:pPr>
        <w:pBdr>
          <w:bottom w:val="single" w:color="FFFFFF" w:sz="4" w:space="31"/>
        </w:pBdr>
        <w:spacing w:line="560" w:lineRule="exact"/>
        <w:ind w:firstLine="600" w:firstLineChars="200"/>
        <w:textAlignment w:val="top"/>
        <w:rPr>
          <w:rFonts w:hint="eastAsia" w:ascii="仿宋_GB2312" w:cs="仿宋_GB2312"/>
          <w:sz w:val="30"/>
          <w:szCs w:val="30"/>
          <w:lang w:val="en-US" w:eastAsia="zh-CN"/>
        </w:rPr>
      </w:pPr>
      <w:r>
        <w:rPr>
          <w:rFonts w:hint="eastAsia" w:ascii="仿宋_GB2312"/>
        </w:rPr>
        <w:t>（二）项目过程情况。</w:t>
      </w:r>
      <w:r>
        <w:rPr>
          <w:rFonts w:hint="eastAsia" w:ascii="仿宋_GB2312" w:eastAsia="仿宋_GB2312" w:cs="仿宋_GB2312"/>
          <w:sz w:val="30"/>
          <w:szCs w:val="30"/>
          <w:lang w:val="en-US" w:eastAsia="zh-CN"/>
        </w:rPr>
        <w:t>专项支出</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万元，其中：村级运转经费</w:t>
      </w:r>
      <w:r>
        <w:rPr>
          <w:rFonts w:hint="eastAsia" w:ascii="仿宋_GB2312" w:cs="仿宋_GB2312"/>
          <w:sz w:val="30"/>
          <w:szCs w:val="30"/>
          <w:lang w:val="en-US" w:eastAsia="zh-CN"/>
        </w:rPr>
        <w:t>35</w:t>
      </w:r>
      <w:r>
        <w:rPr>
          <w:rFonts w:hint="eastAsia" w:ascii="仿宋_GB2312" w:eastAsia="仿宋_GB2312" w:cs="仿宋_GB2312"/>
          <w:sz w:val="30"/>
          <w:szCs w:val="30"/>
          <w:lang w:val="en-US" w:eastAsia="zh-CN"/>
        </w:rPr>
        <w:t>万元、为民办事资金</w:t>
      </w:r>
      <w:r>
        <w:rPr>
          <w:rFonts w:hint="eastAsia" w:ascii="仿宋_GB2312" w:cs="仿宋_GB2312"/>
          <w:sz w:val="30"/>
          <w:szCs w:val="30"/>
          <w:lang w:val="en-US" w:eastAsia="zh-CN"/>
        </w:rPr>
        <w:t>25</w:t>
      </w:r>
      <w:r>
        <w:rPr>
          <w:rFonts w:hint="eastAsia" w:ascii="仿宋_GB2312" w:eastAsia="仿宋_GB2312" w:cs="仿宋_GB2312"/>
          <w:sz w:val="30"/>
          <w:szCs w:val="30"/>
          <w:lang w:val="en-US" w:eastAsia="zh-CN"/>
        </w:rPr>
        <w:t>万元、村级伙食补助</w:t>
      </w:r>
      <w:r>
        <w:rPr>
          <w:rFonts w:hint="eastAsia" w:ascii="仿宋_GB2312" w:cs="仿宋_GB2312"/>
          <w:sz w:val="30"/>
          <w:szCs w:val="30"/>
          <w:lang w:val="en-US" w:eastAsia="zh-CN"/>
        </w:rPr>
        <w:t>30</w:t>
      </w:r>
      <w:r>
        <w:rPr>
          <w:rFonts w:hint="eastAsia" w:ascii="仿宋_GB2312" w:eastAsia="仿宋_GB2312" w:cs="仿宋_GB2312"/>
          <w:sz w:val="30"/>
          <w:szCs w:val="30"/>
          <w:lang w:val="en-US" w:eastAsia="zh-CN"/>
        </w:rPr>
        <w:t>万元</w:t>
      </w:r>
      <w:r>
        <w:rPr>
          <w:rFonts w:hint="eastAsia" w:ascii="仿宋_GB2312" w:cs="仿宋_GB2312"/>
          <w:sz w:val="30"/>
          <w:szCs w:val="30"/>
          <w:lang w:val="en-US" w:eastAsia="zh-CN"/>
        </w:rPr>
        <w:t>，</w:t>
      </w:r>
      <w:r>
        <w:rPr>
          <w:rFonts w:hint="eastAsia" w:ascii="仿宋_GB2312" w:eastAsia="仿宋_GB2312" w:cs="仿宋_GB2312"/>
          <w:sz w:val="30"/>
          <w:szCs w:val="30"/>
          <w:lang w:val="en-US" w:eastAsia="zh-CN"/>
        </w:rPr>
        <w:t>截止2019年12月，到位资金</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万元，执行数</w:t>
      </w:r>
      <w:r>
        <w:rPr>
          <w:rFonts w:hint="eastAsia" w:ascii="仿宋_GB2312" w:cs="仿宋_GB2312"/>
          <w:sz w:val="30"/>
          <w:szCs w:val="30"/>
          <w:lang w:val="en-US" w:eastAsia="zh-CN"/>
        </w:rPr>
        <w:t>90</w:t>
      </w:r>
      <w:r>
        <w:rPr>
          <w:rFonts w:hint="eastAsia" w:ascii="仿宋_GB2312" w:eastAsia="仿宋_GB2312" w:cs="仿宋_GB2312"/>
          <w:sz w:val="30"/>
          <w:szCs w:val="30"/>
          <w:lang w:val="en-US" w:eastAsia="zh-CN"/>
        </w:rPr>
        <w:t>万元，执行率100%</w:t>
      </w:r>
      <w:r>
        <w:rPr>
          <w:rFonts w:hint="eastAsia" w:ascii="仿宋_GB2312" w:cs="仿宋_GB2312"/>
          <w:sz w:val="30"/>
          <w:szCs w:val="30"/>
          <w:lang w:val="en-US" w:eastAsia="zh-CN"/>
        </w:rPr>
        <w:t>。</w:t>
      </w:r>
    </w:p>
    <w:p>
      <w:pPr>
        <w:pBdr>
          <w:bottom w:val="single" w:color="FFFFFF" w:sz="4" w:space="31"/>
        </w:pBdr>
        <w:spacing w:line="560" w:lineRule="exact"/>
        <w:ind w:firstLine="600" w:firstLineChars="200"/>
        <w:textAlignment w:val="top"/>
        <w:rPr>
          <w:rFonts w:ascii="仿宋_GB2312"/>
        </w:rPr>
      </w:pPr>
      <w:r>
        <w:rPr>
          <w:rFonts w:hint="eastAsia" w:ascii="仿宋_GB2312"/>
        </w:rPr>
        <w:t>（三）项目产出情况。</w:t>
      </w:r>
      <w:r>
        <w:rPr>
          <w:rFonts w:hint="eastAsia" w:ascii="仿宋_GB2312" w:cs="仿宋_GB2312"/>
          <w:sz w:val="30"/>
          <w:szCs w:val="30"/>
          <w:lang w:val="en-US" w:eastAsia="zh-CN"/>
        </w:rPr>
        <w:t>保证基层组织建设正常运转所需，按照预算支付进度实施，</w:t>
      </w:r>
      <w:r>
        <w:rPr>
          <w:rFonts w:hint="eastAsia" w:ascii="仿宋_GB2312" w:eastAsia="仿宋_GB2312" w:cs="仿宋_GB2312"/>
          <w:sz w:val="30"/>
          <w:szCs w:val="30"/>
          <w:lang w:val="en-US" w:eastAsia="zh-CN"/>
        </w:rPr>
        <w:t>努力提高</w:t>
      </w:r>
      <w:r>
        <w:rPr>
          <w:rFonts w:hint="eastAsia" w:ascii="仿宋_GB2312" w:cs="仿宋_GB2312"/>
          <w:sz w:val="30"/>
          <w:szCs w:val="30"/>
          <w:lang w:val="en-US" w:eastAsia="zh-CN"/>
        </w:rPr>
        <w:t>为民服务水平</w:t>
      </w:r>
      <w:r>
        <w:rPr>
          <w:rFonts w:hint="eastAsia" w:ascii="仿宋_GB2312" w:eastAsia="仿宋_GB2312" w:cs="仿宋_GB2312"/>
          <w:sz w:val="30"/>
          <w:szCs w:val="30"/>
          <w:lang w:val="en-US" w:eastAsia="zh-CN"/>
        </w:rPr>
        <w:t>，提高群众的知晓率、满意度</w:t>
      </w:r>
      <w:r>
        <w:rPr>
          <w:rFonts w:hint="eastAsia" w:ascii="仿宋_GB2312" w:cs="仿宋_GB2312"/>
          <w:sz w:val="30"/>
          <w:szCs w:val="30"/>
          <w:lang w:val="en-US" w:eastAsia="zh-CN"/>
        </w:rPr>
        <w:t>。</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00" w:firstLineChars="200"/>
        <w:textAlignment w:val="top"/>
        <w:rPr>
          <w:rFonts w:hint="eastAsia" w:ascii="仿宋_GB2312" w:cs="仿宋_GB2312"/>
          <w:sz w:val="30"/>
          <w:szCs w:val="30"/>
          <w:lang w:val="en-US" w:eastAsia="zh-CN"/>
        </w:rPr>
      </w:pPr>
      <w:r>
        <w:rPr>
          <w:rFonts w:hint="eastAsia" w:ascii="仿宋_GB2312"/>
        </w:rPr>
        <w:t>（四）项目效益情况。</w:t>
      </w:r>
      <w:r>
        <w:rPr>
          <w:rFonts w:hint="eastAsia" w:ascii="仿宋_GB2312" w:eastAsia="仿宋_GB2312" w:cs="仿宋_GB2312"/>
          <w:sz w:val="30"/>
          <w:szCs w:val="30"/>
          <w:lang w:val="en-US" w:eastAsia="zh-CN"/>
        </w:rPr>
        <w:t>在经济效益方面，通过项目实施，可节约用水、防止环境污染；使区域生态环境得到明显改观，为项目区的生产、生活可持续发展奠定良好的基础。改善了生态环境，促进和保持生态系统间的良性循环，最大限度的为人民生产、生活提供良好的环境</w:t>
      </w:r>
      <w:r>
        <w:rPr>
          <w:rFonts w:hint="eastAsia" w:ascii="仿宋_GB2312" w:cs="仿宋_GB2312"/>
          <w:sz w:val="30"/>
          <w:szCs w:val="30"/>
          <w:lang w:val="en-US" w:eastAsia="zh-CN"/>
        </w:rPr>
        <w:t>。</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00" w:firstLineChars="200"/>
        <w:textAlignment w:val="top"/>
        <w:rPr>
          <w:rFonts w:hint="eastAsia" w:ascii="黑体" w:hAnsi="黑体" w:eastAsia="黑体"/>
        </w:rPr>
      </w:pPr>
      <w:r>
        <w:rPr>
          <w:rFonts w:hint="eastAsia" w:ascii="黑体" w:hAnsi="黑体" w:eastAsia="黑体"/>
          <w:lang w:eastAsia="zh-CN"/>
        </w:rPr>
        <w:t>五、</w:t>
      </w:r>
      <w:r>
        <w:rPr>
          <w:rFonts w:hint="eastAsia" w:ascii="黑体" w:hAnsi="黑体" w:eastAsia="黑体"/>
        </w:rPr>
        <w:t>主要经验及做法、存在的问题及原因分析</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40" w:firstLineChars="200"/>
        <w:textAlignment w:val="top"/>
        <w:rPr>
          <w:rFonts w:hint="eastAsia" w:ascii="仿宋_GB2312" w:cs="仿宋_GB2312"/>
          <w:sz w:val="30"/>
          <w:szCs w:val="30"/>
          <w:lang w:val="en-US" w:eastAsia="zh-CN"/>
        </w:rPr>
      </w:pPr>
      <w:r>
        <w:rPr>
          <w:rFonts w:hint="eastAsia" w:eastAsia="方正仿宋_GBK"/>
          <w:color w:val="000000"/>
          <w:kern w:val="0"/>
          <w:sz w:val="32"/>
          <w:szCs w:val="32"/>
        </w:rPr>
        <w:t>（</w:t>
      </w:r>
      <w:r>
        <w:rPr>
          <w:rFonts w:hint="eastAsia" w:ascii="仿宋_GB2312" w:eastAsia="仿宋_GB2312" w:cs="仿宋_GB2312"/>
          <w:sz w:val="30"/>
          <w:szCs w:val="30"/>
        </w:rPr>
        <w:t>一）项目审批程序复杂，建设用地指标少、审批难，因各项手续多、周期长，在一定程度上影响了项目建设和资金支付进度</w:t>
      </w:r>
      <w:r>
        <w:rPr>
          <w:rFonts w:hint="eastAsia" w:ascii="仿宋_GB2312" w:cs="仿宋_GB2312"/>
          <w:sz w:val="30"/>
          <w:szCs w:val="30"/>
          <w:lang w:eastAsia="zh-CN"/>
        </w:rPr>
        <w:t>。</w:t>
      </w:r>
      <w:r>
        <w:rPr>
          <w:rFonts w:hint="eastAsia" w:ascii="仿宋_GB2312" w:cs="仿宋_GB2312"/>
          <w:sz w:val="30"/>
          <w:szCs w:val="30"/>
          <w:lang w:val="en-US" w:eastAsia="zh-CN"/>
        </w:rPr>
        <w:t xml:space="preserve">      </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00" w:firstLineChars="200"/>
        <w:textAlignment w:val="top"/>
        <w:rPr>
          <w:rFonts w:hint="eastAsia" w:ascii="仿宋_GB2312" w:eastAsia="仿宋_GB2312" w:cs="仿宋_GB2312"/>
          <w:sz w:val="30"/>
          <w:szCs w:val="30"/>
          <w:lang w:eastAsia="zh-CN"/>
        </w:rPr>
      </w:pPr>
      <w:r>
        <w:rPr>
          <w:rFonts w:hint="eastAsia" w:ascii="仿宋_GB2312" w:cs="仿宋_GB2312"/>
          <w:sz w:val="30"/>
          <w:szCs w:val="30"/>
          <w:lang w:val="en-US" w:eastAsia="zh-CN"/>
        </w:rPr>
        <w:t>（二）</w:t>
      </w:r>
      <w:r>
        <w:rPr>
          <w:rFonts w:hint="eastAsia" w:ascii="仿宋_GB2312" w:eastAsia="仿宋_GB2312" w:cs="仿宋_GB2312"/>
          <w:sz w:val="30"/>
          <w:szCs w:val="30"/>
        </w:rPr>
        <w:t>村</w:t>
      </w:r>
      <w:r>
        <w:rPr>
          <w:rFonts w:hint="eastAsia" w:ascii="仿宋_GB2312" w:cs="仿宋_GB2312"/>
          <w:sz w:val="30"/>
          <w:szCs w:val="30"/>
          <w:lang w:eastAsia="zh-CN"/>
        </w:rPr>
        <w:t>乡</w:t>
      </w:r>
      <w:r>
        <w:rPr>
          <w:rFonts w:hint="eastAsia" w:ascii="仿宋_GB2312" w:eastAsia="仿宋_GB2312" w:cs="仿宋_GB2312"/>
          <w:sz w:val="30"/>
          <w:szCs w:val="30"/>
        </w:rPr>
        <w:t>建设管理和专业技术人才相对缺乏，在工作协调等方面存在不足，影响了村</w:t>
      </w:r>
      <w:r>
        <w:rPr>
          <w:rFonts w:hint="eastAsia" w:ascii="仿宋_GB2312" w:cs="仿宋_GB2312"/>
          <w:sz w:val="30"/>
          <w:szCs w:val="30"/>
          <w:lang w:eastAsia="zh-CN"/>
        </w:rPr>
        <w:t>乡</w:t>
      </w:r>
      <w:r>
        <w:rPr>
          <w:rFonts w:hint="eastAsia" w:ascii="仿宋_GB2312" w:eastAsia="仿宋_GB2312" w:cs="仿宋_GB2312"/>
          <w:sz w:val="30"/>
          <w:szCs w:val="30"/>
        </w:rPr>
        <w:t>建设的整体推进</w:t>
      </w:r>
      <w:r>
        <w:rPr>
          <w:rFonts w:hint="eastAsia" w:ascii="仿宋_GB2312" w:cs="仿宋_GB2312"/>
          <w:sz w:val="30"/>
          <w:szCs w:val="30"/>
          <w:lang w:eastAsia="zh-CN"/>
        </w:rPr>
        <w:t>。</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00" w:firstLineChars="200"/>
        <w:textAlignment w:val="top"/>
        <w:rPr>
          <w:rFonts w:hint="eastAsia" w:ascii="仿宋_GB2312" w:eastAsia="仿宋_GB2312" w:cs="仿宋_GB2312"/>
          <w:sz w:val="30"/>
          <w:szCs w:val="30"/>
        </w:rPr>
      </w:pPr>
      <w:r>
        <w:rPr>
          <w:rFonts w:hint="eastAsia" w:ascii="仿宋_GB2312" w:eastAsia="仿宋_GB2312" w:cs="仿宋_GB2312"/>
          <w:sz w:val="30"/>
          <w:szCs w:val="30"/>
        </w:rPr>
        <w:t>（三）社会化融资渠道较为单一，社会资本投资由于受投资额度大、盈利能力弱、回收周期长、城镇人口少、小城镇规模小等因素的制约，参与新型城镇化建设项目的投资积极性不足。</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00" w:firstLineChars="200"/>
        <w:textAlignment w:val="top"/>
        <w:rPr>
          <w:rFonts w:hint="eastAsia" w:ascii="黑体" w:hAnsi="黑体" w:eastAsia="黑体"/>
          <w:lang w:val="en-US" w:eastAsia="zh-CN"/>
        </w:rPr>
      </w:pPr>
      <w:r>
        <w:rPr>
          <w:rFonts w:hint="eastAsia" w:ascii="黑体" w:hAnsi="黑体" w:eastAsia="黑体"/>
        </w:rPr>
        <w:t>六、有关建议</w:t>
      </w:r>
      <w:r>
        <w:rPr>
          <w:rFonts w:hint="eastAsia" w:ascii="黑体" w:hAnsi="黑体" w:eastAsia="黑体"/>
          <w:lang w:val="en-US" w:eastAsia="zh-CN"/>
        </w:rPr>
        <w:t>：无</w:t>
      </w:r>
    </w:p>
    <w:p>
      <w:pPr>
        <w:keepNext w:val="0"/>
        <w:keepLines w:val="0"/>
        <w:pageBreakBefore w:val="0"/>
        <w:widowControl w:val="0"/>
        <w:pBdr>
          <w:bottom w:val="single" w:color="FFFFFF" w:sz="4" w:space="31"/>
        </w:pBdr>
        <w:kinsoku/>
        <w:wordWrap/>
        <w:overflowPunct/>
        <w:topLinePunct w:val="0"/>
        <w:autoSpaceDE/>
        <w:autoSpaceDN/>
        <w:bidi w:val="0"/>
        <w:adjustRightInd/>
        <w:snapToGrid/>
        <w:spacing w:line="560" w:lineRule="exact"/>
        <w:ind w:firstLine="600" w:firstLineChars="200"/>
        <w:textAlignment w:val="top"/>
        <w:rPr>
          <w:rFonts w:hint="default" w:ascii="仿宋_GB2312" w:eastAsia="黑体"/>
          <w:bCs/>
          <w:sz w:val="32"/>
          <w:szCs w:val="32"/>
          <w:lang w:val="en-US" w:eastAsia="zh-CN"/>
        </w:rPr>
      </w:pPr>
      <w:r>
        <w:rPr>
          <w:rFonts w:hint="eastAsia" w:ascii="黑体" w:hAnsi="黑体" w:eastAsia="黑体"/>
        </w:rPr>
        <w:t>七、其他需要说明的问题</w:t>
      </w:r>
      <w:r>
        <w:rPr>
          <w:rFonts w:hint="eastAsia" w:ascii="黑体" w:hAnsi="黑体" w:eastAsia="黑体"/>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DA08C1"/>
    <w:multiLevelType w:val="singleLevel"/>
    <w:tmpl w:val="51DA08C1"/>
    <w:lvl w:ilvl="0" w:tentative="0">
      <w:start w:val="1"/>
      <w:numFmt w:val="chineseCounting"/>
      <w:suff w:val="nothing"/>
      <w:lvlText w:val="（%1）"/>
      <w:lvlJc w:val="left"/>
      <w:rPr>
        <w:rFonts w:hint="eastAsia"/>
      </w:rPr>
    </w:lvl>
  </w:abstractNum>
  <w:abstractNum w:abstractNumId="1">
    <w:nsid w:val="70F8EECE"/>
    <w:multiLevelType w:val="singleLevel"/>
    <w:tmpl w:val="70F8EE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B4E42"/>
    <w:rsid w:val="0043448B"/>
    <w:rsid w:val="00535AC9"/>
    <w:rsid w:val="00E3118B"/>
    <w:rsid w:val="032C5DE5"/>
    <w:rsid w:val="04D8404C"/>
    <w:rsid w:val="07847DC6"/>
    <w:rsid w:val="099B147A"/>
    <w:rsid w:val="0B0D2FEC"/>
    <w:rsid w:val="10F062FC"/>
    <w:rsid w:val="16C57CDF"/>
    <w:rsid w:val="18692DB4"/>
    <w:rsid w:val="1BAB171B"/>
    <w:rsid w:val="1BC256DE"/>
    <w:rsid w:val="1E223371"/>
    <w:rsid w:val="1E6B4F31"/>
    <w:rsid w:val="1E974DB2"/>
    <w:rsid w:val="22935F8E"/>
    <w:rsid w:val="25137AAE"/>
    <w:rsid w:val="2B6D594D"/>
    <w:rsid w:val="394A20DE"/>
    <w:rsid w:val="3F8D6FEB"/>
    <w:rsid w:val="430A0E5E"/>
    <w:rsid w:val="513137AC"/>
    <w:rsid w:val="578102D1"/>
    <w:rsid w:val="5A4873B9"/>
    <w:rsid w:val="5A7C6788"/>
    <w:rsid w:val="5E5A7D89"/>
    <w:rsid w:val="5F3712D3"/>
    <w:rsid w:val="644D7CB2"/>
    <w:rsid w:val="649862C8"/>
    <w:rsid w:val="653E739C"/>
    <w:rsid w:val="68D46B2F"/>
    <w:rsid w:val="6CEE2AD0"/>
    <w:rsid w:val="6F5E36B9"/>
    <w:rsid w:val="71AA5CAB"/>
    <w:rsid w:val="76D833AA"/>
    <w:rsid w:val="782302E7"/>
    <w:rsid w:val="7E8650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99"/>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143</Words>
  <Characters>820</Characters>
  <Lines>6</Lines>
  <Paragraphs>1</Paragraphs>
  <TotalTime>3</TotalTime>
  <ScaleCrop>false</ScaleCrop>
  <LinksUpToDate>false</LinksUpToDate>
  <CharactersWithSpaces>962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2020-04-01T05:41:00Z</dcterms:created>
  <dc:creator>CurUserName</dc:creator>
  <cp:lastModifiedBy>Administrator</cp:lastModifiedBy>
  <dcterms:modified xsi:type="dcterms:W3CDTF">2020-05-28T04:40:40Z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