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796"/>
        <w:gridCol w:w="1054"/>
        <w:gridCol w:w="796"/>
        <w:gridCol w:w="797"/>
        <w:gridCol w:w="806"/>
        <w:gridCol w:w="907"/>
        <w:gridCol w:w="908"/>
        <w:gridCol w:w="806"/>
        <w:gridCol w:w="796"/>
        <w:gridCol w:w="7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9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Style w:val="4"/>
                <w:bdr w:val="none" w:color="auto" w:sz="0" w:space="0"/>
                <w:lang w:val="en-US" w:eastAsia="zh-CN" w:bidi="ar"/>
              </w:rPr>
              <w:t>绩效目标自评表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9260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和静县2019年资产收益项目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项目负责人及电话</w:t>
            </w:r>
          </w:p>
        </w:tc>
        <w:tc>
          <w:tcPr>
            <w:tcW w:w="33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张迪 15999013909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和静县农业农村局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3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巴音布鲁克镇人民政府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26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全年预算数（A）</w:t>
            </w: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全年执行数（B）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执行率（B/A)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26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年度资金总额：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26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其中：本年财政拨款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2019年中央提前告知财政专项扶贫资金70</w:t>
            </w: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2019年中央提前告知财政专项扶贫资金70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26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    其他资金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42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年初设定目标</w:t>
            </w:r>
          </w:p>
        </w:tc>
        <w:tc>
          <w:tcPr>
            <w:tcW w:w="42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4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目标1：建设1500平米标准化羊圈，建成后承包养殖合作社管理，以资产收益扶持贫困35户，分红比例不低于15%，通过项目的实施改善贫困户生活生产条件，提高贫困牧民的收入。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目标2：通过本项目的实施，可以显著改善敖伦布鲁克村的贫困村民的生活生产条件,提高贫困牧民的收入，助力脱贫攻坚。</w:t>
            </w:r>
          </w:p>
        </w:tc>
        <w:tc>
          <w:tcPr>
            <w:tcW w:w="42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目标1：通过建设1500平米标准化羊圈，承包养殖合作社管理，以资产收益扶持贫困35户，分红比例15%。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目标2：通过本项目的实施，可以显著改善敖伦布鲁克村的贫困村民的生活生产条件,提高了贫困牧民的收入。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全年实际值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(50分)</w:t>
            </w:r>
          </w:p>
        </w:tc>
        <w:tc>
          <w:tcPr>
            <w:tcW w:w="10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牲畜棚圈建设数量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≥1座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牲畜棚圈建设总面积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≥1500平方米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1500平方米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项目验收合格率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项目及时完成率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项目开工时间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2019年1月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2019年1月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项目完工时间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2019年10月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2019年10月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圈舍建设补助标准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≤70万元/座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70万元/座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益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(30分)</w:t>
            </w:r>
          </w:p>
        </w:tc>
        <w:tc>
          <w:tcPr>
            <w:tcW w:w="10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带动增加贫困人口全年总收入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≥10.5万元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 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本年度为建设期，经验周期不足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资产股权年收益率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≥15%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 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受益建档立卡贫困户数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≥35户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35户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受益建档立卡贫困人口数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≥89人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工程使用年限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≥10年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10年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(10分)</w:t>
            </w:r>
          </w:p>
        </w:tc>
        <w:tc>
          <w:tcPr>
            <w:tcW w:w="10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受益贫困人口满意度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90%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项目区群众满意度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90%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D0D0D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D0D0D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2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9260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注：1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9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474" w:rightChars="702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2.定性指标根据指标完成情况分为：达成预期指标、部分达成预期指标并具有一定效果、未达成预期指标且效果较差三档，分别按照该指标对应分值区间100-80%(含80%)、80-60%(含60%)、60-0%合理确定得分。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9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3.定量指标若为正向指标（即指标值为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≥*），则得分计算方法应用全年实际值/年度指标值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该指标分值；若定量指标为反向指标（即指标值为≤*），则得分计算方法应用年度指标值/全年实际值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该指标分值；定量指标得分最高不得超过该指标分值上限。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C3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">
    <w:name w:val="font131"/>
    <w:basedOn w:val="3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2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8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12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GKG</dc:creator>
  <cp:lastModifiedBy>宝黛之约</cp:lastModifiedBy>
  <dcterms:modified xsi:type="dcterms:W3CDTF">2020-09-07T02:55:02Z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