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STZhongsong" w:hAnsi="STZhongsong" w:eastAsia="STZhongsong" w:cs="宋体"/>
          <w:b/>
          <w:kern w:val="0"/>
          <w:sz w:val="52"/>
          <w:szCs w:val="52"/>
        </w:rPr>
      </w:pPr>
    </w:p>
    <w:p>
      <w:pPr>
        <w:pStyle w:val="2"/>
      </w:pPr>
    </w:p>
    <w:p>
      <w:pPr>
        <w:spacing w:line="540" w:lineRule="exact"/>
        <w:jc w:val="center"/>
        <w:rPr>
          <w:rFonts w:ascii="STZhongsong" w:hAnsi="STZhongsong" w:eastAsia="STZhongsong" w:cs="宋体"/>
          <w:b/>
          <w:kern w:val="0"/>
          <w:sz w:val="52"/>
          <w:szCs w:val="52"/>
        </w:rPr>
      </w:pPr>
    </w:p>
    <w:p>
      <w:pPr>
        <w:spacing w:line="540" w:lineRule="exact"/>
        <w:jc w:val="center"/>
        <w:rPr>
          <w:rFonts w:ascii="STZhongsong" w:hAnsi="STZhongsong" w:eastAsia="STZhongsong" w:cs="宋体"/>
          <w:b/>
          <w:kern w:val="0"/>
          <w:sz w:val="52"/>
          <w:szCs w:val="52"/>
        </w:rPr>
      </w:pPr>
    </w:p>
    <w:p>
      <w:pPr>
        <w:spacing w:line="540" w:lineRule="exact"/>
        <w:jc w:val="center"/>
        <w:rPr>
          <w:rFonts w:ascii="STZhongsong" w:hAnsi="STZhongsong" w:eastAsia="STZhongsong" w:cs="宋体"/>
          <w:b/>
          <w:kern w:val="0"/>
          <w:sz w:val="52"/>
          <w:szCs w:val="52"/>
        </w:rPr>
      </w:pPr>
    </w:p>
    <w:p>
      <w:pPr>
        <w:spacing w:line="540" w:lineRule="exact"/>
        <w:jc w:val="center"/>
        <w:rPr>
          <w:rFonts w:ascii="STZhongsong" w:hAnsi="STZhongsong" w:eastAsia="STZhongsong" w:cs="宋体"/>
          <w:b/>
          <w:kern w:val="0"/>
          <w:sz w:val="52"/>
          <w:szCs w:val="52"/>
        </w:rPr>
      </w:pPr>
    </w:p>
    <w:p>
      <w:pPr>
        <w:spacing w:line="540" w:lineRule="exact"/>
        <w:jc w:val="center"/>
        <w:rPr>
          <w:rFonts w:ascii="STZhongsong" w:hAnsi="STZhongsong" w:eastAsia="STZhongsong" w:cs="宋体"/>
          <w:b/>
          <w:kern w:val="0"/>
          <w:sz w:val="52"/>
          <w:szCs w:val="52"/>
        </w:rPr>
      </w:pPr>
    </w:p>
    <w:p>
      <w:pPr>
        <w:spacing w:line="540" w:lineRule="exact"/>
        <w:jc w:val="center"/>
        <w:rPr>
          <w:rFonts w:hint="eastAsia" w:ascii="方正小标宋_GBK" w:hAnsi="STZhongsong" w:eastAsia="方正小标宋_GBK" w:cs="宋体"/>
          <w:b/>
          <w:kern w:val="0"/>
          <w:sz w:val="48"/>
          <w:szCs w:val="48"/>
        </w:rPr>
      </w:pPr>
      <w:r>
        <w:rPr>
          <w:rFonts w:hint="eastAsia" w:ascii="方正小标宋_GBK" w:hAnsi="STZhongsong" w:eastAsia="方正小标宋_GBK" w:cs="宋体"/>
          <w:b/>
          <w:kern w:val="0"/>
          <w:sz w:val="48"/>
          <w:szCs w:val="48"/>
        </w:rPr>
        <w:t>新疆巴州和静县财政项目支出绩效</w:t>
      </w:r>
    </w:p>
    <w:p>
      <w:pPr>
        <w:spacing w:line="540" w:lineRule="exact"/>
        <w:jc w:val="center"/>
        <w:rPr>
          <w:rFonts w:ascii="方正小标宋_GBK" w:hAnsi="STZhongsong" w:eastAsia="方正小标宋_GBK" w:cs="宋体"/>
          <w:b/>
          <w:kern w:val="0"/>
          <w:sz w:val="48"/>
          <w:szCs w:val="48"/>
        </w:rPr>
      </w:pPr>
      <w:r>
        <w:rPr>
          <w:rFonts w:hint="eastAsia" w:ascii="方正小标宋_GBK" w:hAnsi="STZhongsong" w:eastAsia="方正小标宋_GBK" w:cs="宋体"/>
          <w:b/>
          <w:kern w:val="0"/>
          <w:sz w:val="48"/>
          <w:szCs w:val="48"/>
        </w:rPr>
        <w:t>自评报告</w:t>
      </w:r>
    </w:p>
    <w:p>
      <w:pPr>
        <w:spacing w:line="540" w:lineRule="exact"/>
        <w:jc w:val="center"/>
        <w:rPr>
          <w:rFonts w:ascii="STZhongsong" w:hAnsi="STZhongsong" w:eastAsia="STZhongsong"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Ansi="宋体" w:eastAsia="仿宋_GB2312" w:cs="宋体"/>
          <w:kern w:val="0"/>
          <w:sz w:val="36"/>
          <w:szCs w:val="36"/>
        </w:rPr>
        <w:t>2018</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ind w:left="1620" w:hanging="1620" w:hangingChars="450"/>
        <w:jc w:val="left"/>
        <w:rPr>
          <w:rFonts w:hAnsi="宋体" w:eastAsia="仿宋_GB2312" w:cs="宋体"/>
          <w:kern w:val="0"/>
          <w:sz w:val="36"/>
          <w:szCs w:val="36"/>
        </w:rPr>
      </w:pPr>
      <w:r>
        <w:rPr>
          <w:rFonts w:hint="eastAsia" w:hAnsi="宋体" w:eastAsia="仿宋_GB2312" w:cs="宋体"/>
          <w:kern w:val="0"/>
          <w:sz w:val="36"/>
          <w:szCs w:val="36"/>
        </w:rPr>
        <w:t>项目名称：其他普惠制金融贴息补贴款，其中：涉农贷款增量奖励补助资金和创业担保贷款贴息资金。</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实施单位（公章）：和静县国资委</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主管部门（公章）：和静县财政局</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项目负责人（签章）：胡春来</w:t>
      </w:r>
    </w:p>
    <w:p>
      <w:pPr>
        <w:spacing w:line="700" w:lineRule="exact"/>
        <w:jc w:val="left"/>
        <w:rPr>
          <w:rStyle w:val="18"/>
          <w:rFonts w:hAnsi="宋体" w:eastAsia="仿宋_GB2312" w:cs="宋体"/>
          <w:b w:val="0"/>
          <w:bCs w:val="0"/>
          <w:kern w:val="0"/>
          <w:sz w:val="36"/>
          <w:szCs w:val="36"/>
        </w:rPr>
      </w:pPr>
      <w:bookmarkStart w:id="1" w:name="_GoBack"/>
      <w:bookmarkEnd w:id="1"/>
      <w:r>
        <w:rPr>
          <w:rFonts w:hint="eastAsia" w:hAnsi="宋体" w:eastAsia="仿宋_GB2312" w:cs="宋体"/>
          <w:kern w:val="0"/>
          <w:sz w:val="36"/>
          <w:szCs w:val="36"/>
        </w:rPr>
        <w:t>填报时间：</w:t>
      </w:r>
      <w:r>
        <w:rPr>
          <w:rFonts w:hAnsi="宋体" w:eastAsia="仿宋_GB2312" w:cs="宋体"/>
          <w:kern w:val="0"/>
          <w:sz w:val="36"/>
          <w:szCs w:val="36"/>
        </w:rPr>
        <w:t>201</w:t>
      </w:r>
      <w:r>
        <w:rPr>
          <w:rFonts w:hint="eastAsia" w:hAnsi="宋体" w:eastAsia="仿宋_GB2312" w:cs="宋体"/>
          <w:kern w:val="0"/>
          <w:sz w:val="36"/>
          <w:szCs w:val="36"/>
        </w:rPr>
        <w:t>9年</w:t>
      </w:r>
      <w:r>
        <w:rPr>
          <w:rFonts w:hAnsi="宋体" w:eastAsia="仿宋_GB2312" w:cs="宋体"/>
          <w:kern w:val="0"/>
          <w:sz w:val="36"/>
          <w:szCs w:val="36"/>
        </w:rPr>
        <w:t>1</w:t>
      </w:r>
      <w:r>
        <w:rPr>
          <w:rFonts w:hint="eastAsia" w:hAnsi="宋体" w:eastAsia="仿宋_GB2312" w:cs="宋体"/>
          <w:kern w:val="0"/>
          <w:sz w:val="36"/>
          <w:szCs w:val="36"/>
        </w:rPr>
        <w:t>月23日</w:t>
      </w:r>
    </w:p>
    <w:p>
      <w:pPr>
        <w:spacing w:line="540" w:lineRule="exact"/>
        <w:ind w:firstLine="640"/>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spacing w:line="360" w:lineRule="auto"/>
        <w:ind w:firstLine="656" w:firstLineChars="205"/>
        <w:rPr>
          <w:rFonts w:ascii="仿宋_GB2312" w:eastAsia="仿宋_GB2312"/>
          <w:sz w:val="32"/>
          <w:szCs w:val="32"/>
        </w:rPr>
      </w:pPr>
      <w:r>
        <w:rPr>
          <w:rFonts w:hint="eastAsia" w:ascii="仿宋_GB2312" w:eastAsia="仿宋_GB2312" w:cs="仿宋_GB2312"/>
          <w:sz w:val="32"/>
          <w:szCs w:val="32"/>
        </w:rPr>
        <w:t>和静县财政局，为全额拨款行政单位，主要职责是</w:t>
      </w:r>
      <w:r>
        <w:rPr>
          <w:rFonts w:ascii="仿宋_GB2312" w:eastAsia="仿宋_GB2312" w:cs="仿宋_GB2312"/>
          <w:sz w:val="32"/>
          <w:szCs w:val="32"/>
        </w:rPr>
        <w:t>:</w:t>
      </w:r>
    </w:p>
    <w:p>
      <w:pPr>
        <w:spacing w:line="360" w:lineRule="auto"/>
        <w:ind w:firstLine="656" w:firstLineChars="205"/>
        <w:rPr>
          <w:rFonts w:ascii="仿宋_GB2312" w:eastAsia="仿宋_GB2312"/>
          <w:sz w:val="32"/>
          <w:szCs w:val="32"/>
        </w:rPr>
      </w:pPr>
      <w:r>
        <w:rPr>
          <w:rFonts w:hint="eastAsia" w:ascii="仿宋_GB2312" w:eastAsia="仿宋_GB2312" w:cs="仿宋_GB2312"/>
          <w:sz w:val="32"/>
          <w:szCs w:val="32"/>
        </w:rPr>
        <w:t>（</w:t>
      </w:r>
      <w:r>
        <w:rPr>
          <w:rFonts w:ascii="仿宋_GB2312" w:eastAsia="仿宋_GB2312" w:cs="仿宋_GB2312"/>
          <w:sz w:val="32"/>
          <w:szCs w:val="32"/>
        </w:rPr>
        <w:t>1</w:t>
      </w:r>
      <w:r>
        <w:rPr>
          <w:rFonts w:hint="eastAsia" w:ascii="仿宋_GB2312" w:eastAsia="仿宋_GB2312" w:cs="仿宋_GB2312"/>
          <w:sz w:val="32"/>
          <w:szCs w:val="32"/>
        </w:rPr>
        <w:t>）贯彻执行国家财政、税收、国有资产管理的法规、制度和方针、政策；承担我县各项财政收支管理责任，</w:t>
      </w:r>
    </w:p>
    <w:p>
      <w:pPr>
        <w:spacing w:line="360" w:lineRule="auto"/>
        <w:ind w:firstLine="656" w:firstLineChars="205"/>
        <w:rPr>
          <w:rFonts w:ascii="仿宋_GB2312" w:eastAsia="仿宋_GB2312"/>
          <w:sz w:val="32"/>
          <w:szCs w:val="32"/>
        </w:rPr>
      </w:pPr>
      <w:r>
        <w:rPr>
          <w:rFonts w:hint="eastAsia" w:ascii="仿宋_GB2312" w:eastAsia="仿宋_GB2312" w:cs="仿宋_GB2312"/>
          <w:sz w:val="32"/>
          <w:szCs w:val="32"/>
        </w:rPr>
        <w:t>（</w:t>
      </w:r>
      <w:r>
        <w:rPr>
          <w:rFonts w:ascii="仿宋_GB2312" w:eastAsia="仿宋_GB2312" w:cs="仿宋_GB2312"/>
          <w:sz w:val="32"/>
          <w:szCs w:val="32"/>
        </w:rPr>
        <w:t>2</w:t>
      </w:r>
      <w:r>
        <w:rPr>
          <w:rFonts w:hint="eastAsia" w:ascii="仿宋_GB2312" w:eastAsia="仿宋_GB2312" w:cs="仿宋_GB2312"/>
          <w:sz w:val="32"/>
          <w:szCs w:val="32"/>
        </w:rPr>
        <w:t>）负责编制县本级预决算草案并组织执行，受和静县人民政府委托向和静县人民代表大会报告县级预算及其执行情况，向县人大常委会报告决算；组织制定经费开支标准、定额，负责财政预决算工作；完善转移支付制度。</w:t>
      </w:r>
    </w:p>
    <w:p>
      <w:pPr>
        <w:spacing w:line="360" w:lineRule="auto"/>
        <w:ind w:firstLine="656" w:firstLineChars="205"/>
        <w:rPr>
          <w:rFonts w:ascii="仿宋_GB2312" w:hAnsi="仿宋_GB2312" w:eastAsia="仿宋_GB2312" w:cs="仿宋_GB2312"/>
          <w:sz w:val="32"/>
          <w:szCs w:val="32"/>
        </w:rPr>
      </w:pPr>
      <w:r>
        <w:rPr>
          <w:rFonts w:hint="eastAsia" w:ascii="仿宋_GB2312" w:eastAsia="仿宋_GB2312" w:cs="仿宋_GB2312"/>
          <w:sz w:val="32"/>
          <w:szCs w:val="32"/>
        </w:rPr>
        <w:t>（</w:t>
      </w:r>
      <w:r>
        <w:rPr>
          <w:rFonts w:ascii="仿宋_GB2312" w:eastAsia="仿宋_GB2312" w:cs="仿宋_GB2312"/>
          <w:sz w:val="32"/>
          <w:szCs w:val="32"/>
        </w:rPr>
        <w:t>3</w:t>
      </w:r>
      <w:r>
        <w:rPr>
          <w:rFonts w:hint="eastAsia" w:ascii="仿宋_GB2312" w:eastAsia="仿宋_GB2312" w:cs="仿宋_GB2312"/>
          <w:sz w:val="32"/>
          <w:szCs w:val="32"/>
        </w:rPr>
        <w:t>）负责</w:t>
      </w:r>
      <w:r>
        <w:rPr>
          <w:rFonts w:hint="eastAsia" w:ascii="仿宋_GB2312" w:hAnsi="仿宋_GB2312" w:eastAsia="仿宋_GB2312" w:cs="仿宋_GB2312"/>
          <w:sz w:val="32"/>
          <w:szCs w:val="32"/>
        </w:rPr>
        <w:t>政府非税收入和政府性基金管理；组织制定国库管理制度、国库集中首付制度；按规定开展地方债劵管理工作，负责组织申报地方政府债劵项目工作，防范化解政府债务风险；承担有关政策性补贴和专项储备资金财政管理工作，管理各项扶贫资金。</w:t>
      </w:r>
    </w:p>
    <w:p>
      <w:pPr>
        <w:spacing w:line="360" w:lineRule="auto"/>
        <w:ind w:firstLine="656" w:firstLineChars="205"/>
        <w:rPr>
          <w:rFonts w:ascii="仿宋_GB2312" w:eastAsia="仿宋_GB2312"/>
          <w:sz w:val="32"/>
          <w:szCs w:val="32"/>
        </w:rPr>
      </w:pPr>
      <w:r>
        <w:rPr>
          <w:rFonts w:hint="eastAsia" w:ascii="仿宋_GB2312" w:eastAsia="仿宋_GB2312" w:cs="仿宋_GB2312"/>
          <w:sz w:val="32"/>
          <w:szCs w:val="32"/>
        </w:rPr>
        <w:t>（</w:t>
      </w:r>
      <w:r>
        <w:rPr>
          <w:rFonts w:ascii="仿宋_GB2312" w:eastAsia="仿宋_GB2312" w:cs="仿宋_GB2312"/>
          <w:sz w:val="32"/>
          <w:szCs w:val="32"/>
        </w:rPr>
        <w:t>4</w:t>
      </w:r>
      <w:r>
        <w:rPr>
          <w:rFonts w:hint="eastAsia" w:ascii="仿宋_GB2312" w:eastAsia="仿宋_GB2312" w:cs="仿宋_GB2312"/>
          <w:sz w:val="32"/>
          <w:szCs w:val="32"/>
        </w:rPr>
        <w:t>）制定县行政事业单位国有资产管理政策制度并组织实施，按规定管理行政事业单位国有资产。</w:t>
      </w:r>
    </w:p>
    <w:p>
      <w:pPr>
        <w:spacing w:line="360" w:lineRule="auto"/>
        <w:ind w:firstLine="656" w:firstLineChars="205"/>
        <w:rPr>
          <w:rFonts w:ascii="仿宋_GB2312" w:eastAsia="仿宋_GB2312"/>
          <w:sz w:val="32"/>
          <w:szCs w:val="32"/>
        </w:rPr>
      </w:pPr>
      <w:r>
        <w:rPr>
          <w:rFonts w:hint="eastAsia" w:ascii="仿宋_GB2312" w:eastAsia="仿宋_GB2312" w:cs="仿宋_GB2312"/>
          <w:sz w:val="32"/>
          <w:szCs w:val="32"/>
        </w:rPr>
        <w:t>（</w:t>
      </w:r>
      <w:r>
        <w:rPr>
          <w:rFonts w:ascii="仿宋_GB2312" w:eastAsia="仿宋_GB2312" w:cs="仿宋_GB2312"/>
          <w:sz w:val="32"/>
          <w:szCs w:val="32"/>
        </w:rPr>
        <w:t>5</w:t>
      </w:r>
      <w:r>
        <w:rPr>
          <w:rFonts w:hint="eastAsia" w:ascii="仿宋_GB2312" w:eastAsia="仿宋_GB2312" w:cs="仿宋_GB2312"/>
          <w:sz w:val="32"/>
          <w:szCs w:val="32"/>
        </w:rPr>
        <w:t>）负责审核和汇总编制国有资本经营预决算草案，制定国有资本经营预算的制度和办法，收取和静县本级企业国有资本收益。</w:t>
      </w:r>
    </w:p>
    <w:p>
      <w:pPr>
        <w:spacing w:line="360" w:lineRule="auto"/>
        <w:ind w:firstLine="656" w:firstLineChars="205"/>
        <w:rPr>
          <w:rFonts w:ascii="仿宋_GB2312" w:eastAsia="仿宋_GB2312"/>
          <w:sz w:val="32"/>
          <w:szCs w:val="32"/>
        </w:rPr>
      </w:pPr>
      <w:r>
        <w:rPr>
          <w:rFonts w:hint="eastAsia" w:ascii="仿宋_GB2312" w:eastAsia="仿宋_GB2312" w:cs="仿宋_GB2312"/>
          <w:sz w:val="32"/>
          <w:szCs w:val="32"/>
        </w:rPr>
        <w:t>（</w:t>
      </w:r>
      <w:r>
        <w:rPr>
          <w:rFonts w:ascii="仿宋_GB2312" w:eastAsia="仿宋_GB2312" w:cs="仿宋_GB2312"/>
          <w:sz w:val="32"/>
          <w:szCs w:val="32"/>
        </w:rPr>
        <w:t>6</w:t>
      </w:r>
      <w:r>
        <w:rPr>
          <w:rFonts w:hint="eastAsia" w:ascii="仿宋_GB2312" w:eastAsia="仿宋_GB2312" w:cs="仿宋_GB2312"/>
          <w:sz w:val="32"/>
          <w:szCs w:val="32"/>
        </w:rPr>
        <w:t>）管理和指导会计工作，规范会计行为；</w:t>
      </w:r>
    </w:p>
    <w:p>
      <w:pPr>
        <w:spacing w:line="360" w:lineRule="auto"/>
        <w:ind w:firstLine="656" w:firstLineChars="205"/>
        <w:rPr>
          <w:rFonts w:ascii="仿宋_GB2312" w:eastAsia="仿宋_GB2312"/>
          <w:sz w:val="32"/>
          <w:szCs w:val="32"/>
        </w:rPr>
      </w:pPr>
      <w:r>
        <w:rPr>
          <w:rFonts w:hint="eastAsia" w:ascii="仿宋_GB2312" w:eastAsia="仿宋_GB2312" w:cs="仿宋_GB2312"/>
          <w:sz w:val="32"/>
          <w:szCs w:val="32"/>
        </w:rPr>
        <w:t>（</w:t>
      </w:r>
      <w:r>
        <w:rPr>
          <w:rFonts w:ascii="仿宋_GB2312" w:eastAsia="仿宋_GB2312" w:cs="仿宋_GB2312"/>
          <w:sz w:val="32"/>
          <w:szCs w:val="32"/>
        </w:rPr>
        <w:t>7</w:t>
      </w:r>
      <w:r>
        <w:rPr>
          <w:rFonts w:hint="eastAsia" w:ascii="仿宋_GB2312" w:eastAsia="仿宋_GB2312" w:cs="仿宋_GB2312"/>
          <w:sz w:val="32"/>
          <w:szCs w:val="32"/>
        </w:rPr>
        <w:t>）监督检查财税法规、政策的执行情况，反映财政收支管理中的重大问题，提出加强财政管理的政策建议。组织指导全县本级和全县各部门单位预算绩效管理工作；组织实施专项资金绩效考核工作；</w:t>
      </w:r>
    </w:p>
    <w:p>
      <w:pPr>
        <w:spacing w:line="360" w:lineRule="auto"/>
        <w:ind w:firstLine="656" w:firstLineChars="205"/>
        <w:rPr>
          <w:rFonts w:ascii="仿宋_GB2312" w:eastAsia="仿宋_GB2312"/>
          <w:sz w:val="32"/>
          <w:szCs w:val="32"/>
        </w:rPr>
      </w:pPr>
      <w:r>
        <w:rPr>
          <w:rFonts w:hint="eastAsia" w:ascii="仿宋_GB2312" w:eastAsia="仿宋_GB2312" w:cs="仿宋_GB2312"/>
          <w:sz w:val="32"/>
          <w:szCs w:val="32"/>
        </w:rPr>
        <w:t>（</w:t>
      </w:r>
      <w:r>
        <w:rPr>
          <w:rFonts w:ascii="仿宋_GB2312" w:eastAsia="仿宋_GB2312" w:cs="仿宋_GB2312"/>
          <w:sz w:val="32"/>
          <w:szCs w:val="32"/>
        </w:rPr>
        <w:t>8</w:t>
      </w:r>
      <w:r>
        <w:rPr>
          <w:rFonts w:hint="eastAsia" w:ascii="仿宋_GB2312" w:eastAsia="仿宋_GB2312" w:cs="仿宋_GB2312"/>
          <w:sz w:val="32"/>
          <w:szCs w:val="32"/>
        </w:rPr>
        <w:t>）负责本部门党的建设、党风廉政建设和反腐败、精神文明、维护稳定、访惠聚、综合治理、民族团结、等工作。</w:t>
      </w:r>
    </w:p>
    <w:p>
      <w:pPr>
        <w:spacing w:line="360" w:lineRule="auto"/>
        <w:ind w:firstLine="656" w:firstLineChars="205"/>
        <w:rPr>
          <w:rFonts w:ascii="仿宋_GB2312" w:eastAsia="仿宋_GB2312"/>
          <w:sz w:val="32"/>
          <w:szCs w:val="32"/>
        </w:rPr>
      </w:pPr>
      <w:r>
        <w:rPr>
          <w:rFonts w:hint="eastAsia" w:ascii="仿宋_GB2312" w:eastAsia="仿宋_GB2312" w:cs="仿宋_GB2312"/>
          <w:sz w:val="32"/>
          <w:szCs w:val="32"/>
        </w:rPr>
        <w:t>（</w:t>
      </w:r>
      <w:r>
        <w:rPr>
          <w:rFonts w:ascii="仿宋_GB2312" w:eastAsia="仿宋_GB2312" w:cs="仿宋_GB2312"/>
          <w:sz w:val="32"/>
          <w:szCs w:val="32"/>
        </w:rPr>
        <w:t>9</w:t>
      </w:r>
      <w:r>
        <w:rPr>
          <w:rFonts w:hint="eastAsia" w:ascii="仿宋_GB2312" w:eastAsia="仿宋_GB2312" w:cs="仿宋_GB2312"/>
          <w:sz w:val="32"/>
          <w:szCs w:val="32"/>
        </w:rPr>
        <w:t>）从预算单位构成看，和静县财政局的部门预算包括：财政局本级预算及下属事业单位和和静县乡镇财政管理局在内的汇总预算。</w:t>
      </w:r>
    </w:p>
    <w:p>
      <w:pPr>
        <w:spacing w:line="360" w:lineRule="auto"/>
        <w:ind w:firstLine="640" w:firstLineChars="200"/>
        <w:rPr>
          <w:rFonts w:ascii="仿宋_GB2312" w:eastAsia="仿宋_GB2312"/>
          <w:sz w:val="32"/>
          <w:szCs w:val="32"/>
        </w:rPr>
      </w:pPr>
      <w:r>
        <w:rPr>
          <w:rFonts w:ascii="仿宋_GB2312" w:eastAsia="仿宋_GB2312" w:cs="仿宋_GB2312"/>
          <w:sz w:val="32"/>
          <w:szCs w:val="32"/>
        </w:rPr>
        <w:t>2</w:t>
      </w:r>
      <w:r>
        <w:rPr>
          <w:rFonts w:hint="eastAsia" w:ascii="仿宋_GB2312" w:eastAsia="仿宋_GB2312" w:cs="仿宋_GB2312"/>
          <w:sz w:val="32"/>
          <w:szCs w:val="32"/>
        </w:rPr>
        <w:t>、机构设置及人员情况</w:t>
      </w:r>
    </w:p>
    <w:p>
      <w:pPr>
        <w:spacing w:line="360" w:lineRule="auto"/>
        <w:ind w:firstLine="640" w:firstLineChars="200"/>
        <w:rPr>
          <w:rFonts w:ascii="仿宋_GB2312" w:eastAsia="仿宋_GB2312"/>
          <w:sz w:val="32"/>
          <w:szCs w:val="32"/>
        </w:rPr>
      </w:pPr>
      <w:r>
        <w:rPr>
          <w:rFonts w:hint="eastAsia" w:ascii="仿宋_GB2312" w:eastAsia="仿宋_GB2312" w:cs="仿宋_GB2312"/>
          <w:sz w:val="32"/>
          <w:szCs w:val="32"/>
        </w:rPr>
        <w:t>财政部门本级下设</w:t>
      </w:r>
      <w:r>
        <w:rPr>
          <w:rFonts w:ascii="仿宋_GB2312" w:eastAsia="仿宋_GB2312" w:cs="仿宋_GB2312"/>
          <w:sz w:val="32"/>
          <w:szCs w:val="32"/>
        </w:rPr>
        <w:t xml:space="preserve"> 11 </w:t>
      </w:r>
      <w:r>
        <w:rPr>
          <w:rFonts w:hint="eastAsia" w:ascii="仿宋_GB2312" w:eastAsia="仿宋_GB2312" w:cs="仿宋_GB2312"/>
          <w:sz w:val="32"/>
          <w:szCs w:val="32"/>
        </w:rPr>
        <w:t>个科室，分别是：内设办公室、预算股、国库股、行政政法和科教文股、经济建设股、农业股、社会保障股、综合股（非税收入管理股）、会计股、化债办、票据股。所属事业单位有：国有资产监督管理委员会、农业综合开发办公室、国库集中支付中心、政府采购中心、政府采购办、金融办、基本建设投资评审中心。本部门中，行政单位</w:t>
      </w:r>
      <w:r>
        <w:rPr>
          <w:rFonts w:ascii="仿宋_GB2312" w:eastAsia="仿宋_GB2312" w:cs="仿宋_GB2312"/>
          <w:sz w:val="32"/>
          <w:szCs w:val="32"/>
        </w:rPr>
        <w:t xml:space="preserve"> 1 </w:t>
      </w:r>
      <w:r>
        <w:rPr>
          <w:rFonts w:hint="eastAsia" w:ascii="仿宋_GB2312" w:eastAsia="仿宋_GB2312" w:cs="仿宋_GB2312"/>
          <w:sz w:val="32"/>
          <w:szCs w:val="32"/>
        </w:rPr>
        <w:t>家，参公管理事业单位</w:t>
      </w:r>
      <w:r>
        <w:rPr>
          <w:rFonts w:ascii="仿宋_GB2312" w:eastAsia="仿宋_GB2312" w:cs="仿宋_GB2312"/>
          <w:sz w:val="32"/>
          <w:szCs w:val="32"/>
        </w:rPr>
        <w:t xml:space="preserve"> 2 </w:t>
      </w:r>
      <w:r>
        <w:rPr>
          <w:rFonts w:hint="eastAsia" w:ascii="仿宋_GB2312" w:eastAsia="仿宋_GB2312" w:cs="仿宋_GB2312"/>
          <w:sz w:val="32"/>
          <w:szCs w:val="32"/>
        </w:rPr>
        <w:t>家</w:t>
      </w:r>
      <w:r>
        <w:rPr>
          <w:rFonts w:ascii="仿宋_GB2312" w:eastAsia="仿宋_GB2312" w:cs="仿宋_GB2312"/>
          <w:sz w:val="32"/>
          <w:szCs w:val="32"/>
        </w:rPr>
        <w:t>,</w:t>
      </w:r>
      <w:r>
        <w:rPr>
          <w:rFonts w:hint="eastAsia" w:ascii="仿宋_GB2312" w:eastAsia="仿宋_GB2312" w:cs="仿宋_GB2312"/>
          <w:sz w:val="32"/>
          <w:szCs w:val="32"/>
        </w:rPr>
        <w:t>事</w:t>
      </w:r>
      <w:bookmarkStart w:id="0" w:name="page7"/>
      <w:bookmarkEnd w:id="0"/>
      <w:r>
        <w:rPr>
          <w:rFonts w:hint="eastAsia" w:ascii="仿宋_GB2312" w:eastAsia="仿宋_GB2312" w:cs="仿宋_GB2312"/>
          <w:sz w:val="32"/>
          <w:szCs w:val="32"/>
        </w:rPr>
        <w:t>业单位</w:t>
      </w:r>
      <w:r>
        <w:rPr>
          <w:rFonts w:ascii="仿宋_GB2312" w:eastAsia="仿宋_GB2312" w:cs="仿宋_GB2312"/>
          <w:sz w:val="32"/>
          <w:szCs w:val="32"/>
        </w:rPr>
        <w:t xml:space="preserve"> 6 </w:t>
      </w:r>
      <w:r>
        <w:rPr>
          <w:rFonts w:hint="eastAsia" w:ascii="仿宋_GB2312" w:eastAsia="仿宋_GB2312" w:cs="仿宋_GB2312"/>
          <w:sz w:val="32"/>
          <w:szCs w:val="32"/>
        </w:rPr>
        <w:t>家，纳入县财政部门</w:t>
      </w:r>
      <w:r>
        <w:rPr>
          <w:rFonts w:ascii="仿宋_GB2312" w:eastAsia="仿宋_GB2312" w:cs="仿宋_GB2312"/>
          <w:sz w:val="32"/>
          <w:szCs w:val="32"/>
        </w:rPr>
        <w:t xml:space="preserve"> 2019 </w:t>
      </w:r>
      <w:r>
        <w:rPr>
          <w:rFonts w:hint="eastAsia" w:ascii="仿宋_GB2312" w:eastAsia="仿宋_GB2312" w:cs="仿宋_GB2312"/>
          <w:sz w:val="32"/>
          <w:szCs w:val="32"/>
        </w:rPr>
        <w:t>年部门预算编制范围的二级预算单位包括：</w:t>
      </w:r>
    </w:p>
    <w:p>
      <w:pPr>
        <w:spacing w:line="360" w:lineRule="auto"/>
        <w:ind w:firstLine="640" w:firstLineChars="200"/>
        <w:rPr>
          <w:rFonts w:ascii="仿宋_GB2312" w:eastAsia="仿宋_GB2312"/>
          <w:sz w:val="32"/>
          <w:szCs w:val="32"/>
        </w:rPr>
      </w:pPr>
      <w:r>
        <w:rPr>
          <w:rFonts w:hint="eastAsia" w:ascii="仿宋_GB2312" w:eastAsia="仿宋_GB2312" w:cs="仿宋_GB2312"/>
          <w:sz w:val="32"/>
          <w:szCs w:val="32"/>
        </w:rPr>
        <w:t>（</w:t>
      </w:r>
      <w:r>
        <w:rPr>
          <w:rFonts w:ascii="仿宋_GB2312" w:eastAsia="仿宋_GB2312" w:cs="仿宋_GB2312"/>
          <w:sz w:val="32"/>
          <w:szCs w:val="32"/>
        </w:rPr>
        <w:t>1</w:t>
      </w:r>
      <w:r>
        <w:rPr>
          <w:rFonts w:hint="eastAsia" w:ascii="仿宋_GB2312" w:eastAsia="仿宋_GB2312" w:cs="仿宋_GB2312"/>
          <w:sz w:val="32"/>
          <w:szCs w:val="32"/>
        </w:rPr>
        <w:t>）和静县财政局、和静县财政局（会计核算中心）。</w:t>
      </w:r>
    </w:p>
    <w:p>
      <w:pPr>
        <w:spacing w:line="360" w:lineRule="auto"/>
        <w:ind w:firstLine="640" w:firstLineChars="200"/>
        <w:rPr>
          <w:rFonts w:ascii="仿宋_GB2312" w:eastAsia="仿宋_GB2312"/>
          <w:sz w:val="32"/>
          <w:szCs w:val="32"/>
        </w:rPr>
      </w:pPr>
      <w:r>
        <w:rPr>
          <w:rFonts w:hint="eastAsia" w:ascii="仿宋_GB2312" w:eastAsia="仿宋_GB2312" w:cs="仿宋_GB2312"/>
          <w:sz w:val="32"/>
          <w:szCs w:val="32"/>
        </w:rPr>
        <w:t>（</w:t>
      </w:r>
      <w:r>
        <w:rPr>
          <w:rFonts w:ascii="仿宋_GB2312" w:eastAsia="仿宋_GB2312" w:cs="仿宋_GB2312"/>
          <w:sz w:val="32"/>
          <w:szCs w:val="32"/>
        </w:rPr>
        <w:t>2</w:t>
      </w:r>
      <w:r>
        <w:rPr>
          <w:rFonts w:hint="eastAsia" w:ascii="仿宋_GB2312" w:eastAsia="仿宋_GB2312" w:cs="仿宋_GB2312"/>
          <w:sz w:val="32"/>
          <w:szCs w:val="32"/>
        </w:rPr>
        <w:t>）和静县乡镇财政管理局下设</w:t>
      </w:r>
      <w:r>
        <w:rPr>
          <w:rFonts w:ascii="仿宋_GB2312" w:eastAsia="仿宋_GB2312" w:cs="仿宋_GB2312"/>
          <w:sz w:val="32"/>
          <w:szCs w:val="32"/>
        </w:rPr>
        <w:t xml:space="preserve"> 2 </w:t>
      </w:r>
      <w:r>
        <w:rPr>
          <w:rFonts w:hint="eastAsia" w:ascii="仿宋_GB2312" w:eastAsia="仿宋_GB2312" w:cs="仿宋_GB2312"/>
          <w:sz w:val="32"/>
          <w:szCs w:val="32"/>
        </w:rPr>
        <w:t>个科室，分别是资金支付管理股、农村综合改革办公室。</w:t>
      </w:r>
    </w:p>
    <w:p>
      <w:pPr>
        <w:spacing w:line="360" w:lineRule="auto"/>
        <w:ind w:firstLine="640" w:firstLineChars="200"/>
        <w:rPr>
          <w:rFonts w:ascii="仿宋_GB2312" w:eastAsia="仿宋_GB2312"/>
          <w:sz w:val="32"/>
          <w:szCs w:val="32"/>
        </w:rPr>
      </w:pPr>
      <w:r>
        <w:rPr>
          <w:rFonts w:hint="eastAsia" w:ascii="仿宋_GB2312" w:eastAsia="仿宋_GB2312" w:cs="仿宋_GB2312"/>
          <w:sz w:val="32"/>
          <w:szCs w:val="32"/>
        </w:rPr>
        <w:t>财政部门编制数</w:t>
      </w:r>
      <w:r>
        <w:rPr>
          <w:rFonts w:ascii="仿宋_GB2312" w:eastAsia="仿宋_GB2312" w:cs="仿宋_GB2312"/>
          <w:sz w:val="32"/>
          <w:szCs w:val="32"/>
        </w:rPr>
        <w:t xml:space="preserve"> 68</w:t>
      </w:r>
      <w:r>
        <w:rPr>
          <w:rFonts w:hint="eastAsia" w:ascii="仿宋_GB2312" w:eastAsia="仿宋_GB2312" w:cs="仿宋_GB2312"/>
          <w:sz w:val="32"/>
          <w:szCs w:val="32"/>
        </w:rPr>
        <w:t>，实有人数</w:t>
      </w:r>
      <w:r>
        <w:rPr>
          <w:rFonts w:ascii="仿宋_GB2312" w:eastAsia="仿宋_GB2312" w:cs="仿宋_GB2312"/>
          <w:sz w:val="32"/>
          <w:szCs w:val="32"/>
        </w:rPr>
        <w:t xml:space="preserve"> 62 </w:t>
      </w:r>
      <w:r>
        <w:rPr>
          <w:rFonts w:hint="eastAsia" w:ascii="仿宋_GB2312" w:eastAsia="仿宋_GB2312" w:cs="仿宋_GB2312"/>
          <w:sz w:val="32"/>
          <w:szCs w:val="32"/>
        </w:rPr>
        <w:t>人，其中：在职</w:t>
      </w:r>
      <w:r>
        <w:rPr>
          <w:rFonts w:ascii="仿宋_GB2312" w:eastAsia="仿宋_GB2312" w:cs="仿宋_GB2312"/>
          <w:sz w:val="32"/>
          <w:szCs w:val="32"/>
        </w:rPr>
        <w:t xml:space="preserve"> 62 </w:t>
      </w:r>
      <w:r>
        <w:rPr>
          <w:rFonts w:hint="eastAsia" w:ascii="仿宋_GB2312" w:eastAsia="仿宋_GB2312" w:cs="仿宋_GB2312"/>
          <w:sz w:val="32"/>
          <w:szCs w:val="32"/>
        </w:rPr>
        <w:t>人，退休</w:t>
      </w:r>
      <w:r>
        <w:rPr>
          <w:rFonts w:ascii="仿宋_GB2312" w:eastAsia="仿宋_GB2312" w:cs="仿宋_GB2312"/>
          <w:sz w:val="32"/>
          <w:szCs w:val="32"/>
        </w:rPr>
        <w:t xml:space="preserve"> 35 </w:t>
      </w:r>
      <w:r>
        <w:rPr>
          <w:rFonts w:hint="eastAsia" w:ascii="仿宋_GB2312" w:eastAsia="仿宋_GB2312" w:cs="仿宋_GB2312"/>
          <w:sz w:val="32"/>
          <w:szCs w:val="32"/>
        </w:rPr>
        <w:t>人。</w:t>
      </w:r>
    </w:p>
    <w:p>
      <w:pPr>
        <w:spacing w:line="540" w:lineRule="exact"/>
        <w:ind w:firstLine="567" w:firstLineChars="181"/>
        <w:rPr>
          <w:rStyle w:val="18"/>
          <w:rFonts w:ascii="仿宋_GB2312" w:hAnsi="仿宋_GB2312" w:eastAsia="仿宋_GB2312" w:cs="仿宋_GB2312"/>
          <w:bCs w:val="0"/>
          <w:spacing w:val="-4"/>
          <w:sz w:val="32"/>
          <w:szCs w:val="32"/>
        </w:rPr>
      </w:pPr>
      <w:r>
        <w:rPr>
          <w:rStyle w:val="18"/>
          <w:rFonts w:hint="eastAsia" w:ascii="仿宋_GB2312" w:hAnsi="仿宋_GB2312" w:eastAsia="仿宋_GB2312" w:cs="仿宋_GB2312"/>
          <w:bCs w:val="0"/>
          <w:spacing w:val="-4"/>
          <w:sz w:val="32"/>
          <w:szCs w:val="32"/>
        </w:rPr>
        <w:t>（二）项目预算绩效目标设定情况</w:t>
      </w:r>
    </w:p>
    <w:p>
      <w:pPr>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积极落实普惠金融发展专项资金政策，充分发挥财政资金的杠杆撬动作用。发挥专项资金在弥补市场失灵，保障农民、小微企业、城镇低收入人群、贫困人群和残疾人、老年人等普惠金融重点服务对象获得基础金融服务方面的重要作用。足额安排省、市、县财政配套资金，确保政策执行到位。建立健全资金绩效评价机制，调动地方财政部门工作积极性，使更多的弱势群体受益。根据巴财企[2017]50号 自治区普惠金融发展2016结算及2017预拨资金(新财金[2017]43号)，预拨2017年普惠金融发展专项资金(涉农贷款增量中央财政奖励) (新财金[2016]80号)文件执行</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spacing w:line="540" w:lineRule="exact"/>
        <w:ind w:firstLine="567" w:firstLineChars="181"/>
        <w:rPr>
          <w:rStyle w:val="18"/>
          <w:rFonts w:ascii="楷体" w:hAnsi="楷体" w:eastAsia="楷体"/>
          <w:bCs w:val="0"/>
          <w:spacing w:val="-4"/>
          <w:sz w:val="32"/>
          <w:szCs w:val="32"/>
        </w:rPr>
      </w:pPr>
      <w:r>
        <w:rPr>
          <w:rStyle w:val="18"/>
          <w:rFonts w:hint="eastAsia" w:ascii="楷体" w:hAnsi="楷体" w:eastAsia="楷体"/>
          <w:bCs w:val="0"/>
          <w:spacing w:val="-4"/>
          <w:sz w:val="32"/>
          <w:szCs w:val="32"/>
        </w:rPr>
        <w:t>（一）项目资金安排落实、总投入等情况分析</w:t>
      </w:r>
    </w:p>
    <w:p>
      <w:pPr>
        <w:ind w:firstLine="624" w:firstLineChars="200"/>
        <w:rPr>
          <w:rStyle w:val="18"/>
          <w:rFonts w:ascii="仿宋_GB2312" w:eastAsia="仿宋_GB2312"/>
          <w:b w:val="0"/>
          <w:bCs w:val="0"/>
          <w:spacing w:val="-4"/>
          <w:sz w:val="32"/>
          <w:szCs w:val="32"/>
        </w:rPr>
      </w:pPr>
      <w:r>
        <w:rPr>
          <w:rStyle w:val="18"/>
          <w:rFonts w:hint="eastAsia" w:ascii="仿宋_GB2312" w:hAnsi="仿宋_GB2312" w:eastAsia="仿宋_GB2312" w:cs="仿宋_GB2312"/>
          <w:b w:val="0"/>
          <w:spacing w:val="-4"/>
          <w:sz w:val="32"/>
          <w:szCs w:val="32"/>
        </w:rPr>
        <w:t>2018年从中央及自治区普惠制金融补贴资金中，拨付2017年2家银行涉农贷款增量奖励资金204.88万元，创业提保贷款贴息补助资金136.78万元，</w:t>
      </w:r>
      <w:r>
        <w:rPr>
          <w:rStyle w:val="18"/>
          <w:rFonts w:hint="eastAsia" w:ascii="仿宋_GB2312" w:hAnsi="仿宋_GB2312" w:eastAsia="仿宋_GB2312" w:cs="仿宋_GB2312"/>
          <w:b w:val="0"/>
          <w:bCs w:val="0"/>
          <w:spacing w:val="-4"/>
          <w:sz w:val="32"/>
          <w:szCs w:val="32"/>
        </w:rPr>
        <w:t>资金</w:t>
      </w:r>
      <w:r>
        <w:rPr>
          <w:rStyle w:val="18"/>
          <w:rFonts w:hint="eastAsia" w:ascii="仿宋_GB2312" w:eastAsia="仿宋_GB2312"/>
          <w:b w:val="0"/>
          <w:bCs w:val="0"/>
          <w:spacing w:val="-4"/>
          <w:sz w:val="32"/>
          <w:szCs w:val="32"/>
        </w:rPr>
        <w:t>已拨付完毕，专款专用</w:t>
      </w:r>
      <w:r>
        <w:rPr>
          <w:rStyle w:val="18"/>
          <w:rFonts w:hint="eastAsia" w:ascii="楷体" w:hAnsi="楷体" w:eastAsia="楷体"/>
          <w:b w:val="0"/>
          <w:spacing w:val="-4"/>
          <w:sz w:val="32"/>
          <w:szCs w:val="32"/>
        </w:rPr>
        <w:t>。</w:t>
      </w:r>
    </w:p>
    <w:p>
      <w:pPr>
        <w:spacing w:line="540" w:lineRule="exact"/>
        <w:ind w:firstLine="567" w:firstLineChars="181"/>
        <w:rPr>
          <w:rStyle w:val="18"/>
          <w:rFonts w:ascii="楷体" w:hAnsi="楷体" w:eastAsia="楷体"/>
          <w:bCs w:val="0"/>
          <w:spacing w:val="-4"/>
          <w:sz w:val="32"/>
          <w:szCs w:val="32"/>
        </w:rPr>
      </w:pPr>
      <w:r>
        <w:rPr>
          <w:rStyle w:val="18"/>
          <w:rFonts w:hint="eastAsia" w:ascii="楷体" w:hAnsi="楷体" w:eastAsia="楷体"/>
          <w:bCs w:val="0"/>
          <w:spacing w:val="-4"/>
          <w:sz w:val="32"/>
          <w:szCs w:val="32"/>
        </w:rPr>
        <w:t>（二）项目资金实际使用情况分析</w:t>
      </w:r>
    </w:p>
    <w:p>
      <w:pPr>
        <w:spacing w:line="540" w:lineRule="exact"/>
        <w:ind w:firstLine="624" w:firstLineChars="200"/>
        <w:rPr>
          <w:rStyle w:val="18"/>
          <w:rFonts w:ascii="仿宋_GB2312" w:hAnsi="仿宋" w:eastAsia="仿宋_GB2312"/>
          <w:b w:val="0"/>
          <w:spacing w:val="-4"/>
          <w:sz w:val="32"/>
          <w:szCs w:val="32"/>
        </w:rPr>
      </w:pPr>
      <w:r>
        <w:rPr>
          <w:rStyle w:val="18"/>
          <w:rFonts w:hint="eastAsia" w:ascii="仿宋_GB2312" w:hAnsi="仿宋" w:eastAsia="仿宋_GB2312"/>
          <w:b w:val="0"/>
          <w:spacing w:val="-4"/>
          <w:sz w:val="32"/>
          <w:szCs w:val="32"/>
        </w:rPr>
        <w:t>按季度由金融机构申报创业担保贷款财政贴息资金审批表，由县人社局，和静县小额担保中心及财政局审批后，财政直接支付给人社局，再由人设局支付给金融机构。</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spacing w:line="540" w:lineRule="exact"/>
        <w:ind w:firstLine="624" w:firstLineChars="200"/>
        <w:rPr>
          <w:rStyle w:val="18"/>
          <w:rFonts w:ascii="仿宋_GB2312" w:hAnsi="仿宋" w:eastAsia="仿宋_GB2312"/>
          <w:b w:val="0"/>
          <w:spacing w:val="-4"/>
          <w:sz w:val="32"/>
          <w:szCs w:val="32"/>
        </w:rPr>
      </w:pPr>
      <w:r>
        <w:rPr>
          <w:rStyle w:val="18"/>
          <w:rFonts w:hint="eastAsia" w:ascii="仿宋_GB2312" w:hAnsi="仿宋" w:eastAsia="仿宋_GB2312"/>
          <w:b w:val="0"/>
          <w:spacing w:val="-4"/>
          <w:sz w:val="32"/>
          <w:szCs w:val="32"/>
        </w:rPr>
        <w:t>按资金通过国库直接支付方式拨付给2户金融机构，支付完毕。</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spacing w:line="540" w:lineRule="exact"/>
        <w:ind w:firstLine="640"/>
        <w:rPr>
          <w:rFonts w:ascii="仿宋_GB2312" w:hAnsi="仿宋_GB2312" w:eastAsia="仿宋_GB2312" w:cs="仿宋_GB2312"/>
          <w:color w:val="000000"/>
          <w:sz w:val="30"/>
          <w:szCs w:val="30"/>
        </w:rPr>
      </w:pPr>
      <w:r>
        <w:rPr>
          <w:rFonts w:hint="eastAsia" w:ascii="仿宋_GB2312" w:hAnsi="仿宋_GB2312" w:eastAsia="仿宋_GB2312" w:cs="仿宋_GB2312"/>
          <w:color w:val="000000"/>
          <w:sz w:val="30"/>
          <w:szCs w:val="30"/>
        </w:rPr>
        <w:t>实施更加积极的就业政策，切实将创业担保贷款贴息政策落到实处。坚持以创业创新带动就业，助力大众创业、万众创新，对符合政策规定条件的创业担保贷款给予一定贴息，减轻创业者和用人单位负担</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四、项目绩效情况</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spacing w:line="540" w:lineRule="exact"/>
        <w:ind w:firstLine="720" w:firstLineChars="231"/>
        <w:rPr>
          <w:rStyle w:val="18"/>
          <w:rFonts w:ascii="仿宋_GB2312" w:hAnsi="仿宋" w:eastAsia="仿宋_GB2312"/>
          <w:b w:val="0"/>
          <w:spacing w:val="-4"/>
          <w:sz w:val="32"/>
          <w:szCs w:val="32"/>
        </w:rPr>
      </w:pPr>
      <w:r>
        <w:rPr>
          <w:rStyle w:val="18"/>
          <w:rFonts w:hint="eastAsia" w:ascii="仿宋_GB2312" w:hAnsi="仿宋" w:eastAsia="仿宋_GB2312"/>
          <w:b w:val="0"/>
          <w:spacing w:val="-4"/>
          <w:sz w:val="32"/>
          <w:szCs w:val="32"/>
        </w:rPr>
        <w:t>项目完成率100%。</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line="540" w:lineRule="exact"/>
        <w:ind w:firstLine="640"/>
        <w:rPr>
          <w:rFonts w:ascii="仿宋" w:hAnsi="仿宋" w:eastAsia="仿宋"/>
          <w:spacing w:val="-4"/>
          <w:sz w:val="32"/>
          <w:szCs w:val="32"/>
        </w:rPr>
      </w:pPr>
      <w:r>
        <w:rPr>
          <w:rFonts w:hint="eastAsia" w:ascii="仿宋" w:hAnsi="仿宋" w:eastAsia="仿宋"/>
          <w:spacing w:val="-4"/>
          <w:sz w:val="32"/>
          <w:szCs w:val="32"/>
        </w:rPr>
        <w:t>无</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640"/>
        <w:rPr>
          <w:rFonts w:ascii="仿宋_GB2312" w:hAnsi="仿宋_GB2312" w:eastAsia="仿宋_GB2312" w:cs="仿宋_GB2312"/>
          <w:color w:val="000000"/>
          <w:sz w:val="30"/>
          <w:szCs w:val="30"/>
        </w:rPr>
      </w:pPr>
      <w:r>
        <w:rPr>
          <w:rFonts w:hint="eastAsia" w:ascii="仿宋_GB2312" w:hAnsi="仿宋_GB2312" w:eastAsia="仿宋_GB2312" w:cs="仿宋_GB2312"/>
          <w:color w:val="000000"/>
          <w:sz w:val="30"/>
          <w:szCs w:val="30"/>
        </w:rPr>
        <w:t>按《新疆维吾尔自治区普惠金融发展专项资金管理暂行办法》，确保政策性补贴资金拨付到位，确保群众的利益得到保障。按专项资金管理办法，专款专用。</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spacing w:line="540" w:lineRule="exact"/>
        <w:ind w:firstLine="543" w:firstLineChars="181"/>
        <w:rPr>
          <w:rFonts w:ascii="仿宋_GB2312" w:hAnsi="仿宋_GB2312" w:eastAsia="仿宋_GB2312" w:cs="仿宋_GB2312"/>
          <w:color w:val="000000"/>
          <w:sz w:val="30"/>
          <w:szCs w:val="30"/>
        </w:rPr>
      </w:pPr>
      <w:r>
        <w:rPr>
          <w:rFonts w:hint="eastAsia" w:ascii="仿宋_GB2312" w:hAnsi="仿宋_GB2312" w:eastAsia="仿宋_GB2312" w:cs="仿宋_GB2312"/>
          <w:color w:val="000000"/>
          <w:sz w:val="30"/>
          <w:szCs w:val="30"/>
        </w:rPr>
        <w:t>明确专项资金地方财政负担标准，充分考虑县财政较为困难的实际情况，在中央财政承担的70%贴息资金中，由省财政承担20%，县市承担10%，切实减轻市县财政负担，提高落实政策积极性。综合运用业务奖励、费用补贴、贷款贴息、以奖代补等方式，引导县人民政府、金融机构以及社会资金支持普惠金融发展，弥补市场失灵，保障农民、小微企业、城镇低收入人群、贫困人群和残疾人、老年人等普惠金融重点服务对象的基础金融服务可得性和适用性。充分发挥县域金融机构涉农贷款增量奖励资金的作用，支持和推动县域经济发展。</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pPr>
        <w:spacing w:line="540" w:lineRule="exact"/>
        <w:ind w:firstLine="564" w:firstLineChars="181"/>
        <w:rPr>
          <w:rFonts w:ascii="楷体" w:hAnsi="楷体" w:eastAsia="楷体"/>
          <w:bCs/>
          <w:spacing w:val="-4"/>
          <w:sz w:val="32"/>
          <w:szCs w:val="32"/>
        </w:rPr>
      </w:pPr>
      <w:r>
        <w:rPr>
          <w:rFonts w:hint="eastAsia" w:ascii="楷体" w:hAnsi="楷体" w:eastAsia="楷体"/>
          <w:bCs/>
          <w:spacing w:val="-4"/>
          <w:sz w:val="32"/>
          <w:szCs w:val="32"/>
        </w:rPr>
        <w:t>无</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六、项目评价工作情况</w:t>
      </w:r>
    </w:p>
    <w:p>
      <w:pPr>
        <w:spacing w:line="540" w:lineRule="exact"/>
        <w:ind w:firstLine="640"/>
        <w:rPr>
          <w:rFonts w:ascii="仿宋_GB2312" w:hAnsi="仿宋_GB2312" w:eastAsia="仿宋_GB2312" w:cs="仿宋_GB2312"/>
          <w:color w:val="000000"/>
          <w:sz w:val="30"/>
          <w:szCs w:val="30"/>
        </w:rPr>
      </w:pPr>
      <w:r>
        <w:rPr>
          <w:rFonts w:hint="eastAsia" w:ascii="仿宋_GB2312" w:hAnsi="仿宋_GB2312" w:eastAsia="仿宋_GB2312" w:cs="仿宋_GB2312"/>
          <w:color w:val="000000"/>
          <w:sz w:val="30"/>
          <w:szCs w:val="30"/>
        </w:rPr>
        <w:t>绩效评价按照科学规范、公开公正、分级分类、绩效相关原则，采用比较法、因素法、成本法、公众评判法等方法开展绩效评价。所有基础数据的采集、稽查和管理，资料来源和指标完成的情况都有与之相配套的批示文件和佐证材料，从而保证了绩效数据的真实、客观、有效。</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spacing w:line="560" w:lineRule="exact"/>
        <w:ind w:firstLine="643" w:firstLineChars="200"/>
        <w:rPr>
          <w:rFonts w:ascii="仿宋_GB2312" w:hAnsi="宋体" w:eastAsia="仿宋_GB2312" w:cs="宋体"/>
          <w:b/>
          <w:kern w:val="0"/>
          <w:sz w:val="32"/>
          <w:szCs w:val="32"/>
        </w:rPr>
      </w:pPr>
      <w:r>
        <w:rPr>
          <w:rFonts w:hint="eastAsia" w:ascii="仿宋_GB2312" w:hAnsi="宋体" w:eastAsia="仿宋_GB2312" w:cs="宋体"/>
          <w:b/>
          <w:kern w:val="0"/>
          <w:sz w:val="32"/>
          <w:szCs w:val="32"/>
        </w:rPr>
        <w:t>《和静县财政局财政项目支出绩效自评表》</w:t>
      </w:r>
    </w:p>
    <w:sectPr>
      <w:headerReference r:id="rId3" w:type="default"/>
      <w:footerReference r:id="rId4"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A00002EF" w:usb1="4000004B" w:usb2="00000000" w:usb3="00000000" w:csb0="2000009F" w:csb1="00000000"/>
  </w:font>
  <w:font w:name="仿宋">
    <w:altName w:val="宋体"/>
    <w:panose1 w:val="02010609060101010101"/>
    <w:charset w:val="86"/>
    <w:family w:val="modern"/>
    <w:pitch w:val="default"/>
    <w:sig w:usb0="00000000" w:usb1="00000000" w:usb2="00000016" w:usb3="00000000" w:csb0="00040001" w:csb1="00000000"/>
  </w:font>
  <w:font w:name="STZhongsong">
    <w:altName w:val="宋体"/>
    <w:panose1 w:val="00000000000000000000"/>
    <w:charset w:val="86"/>
    <w:family w:val="auto"/>
    <w:pitch w:val="default"/>
    <w:sig w:usb0="00000000" w:usb1="00000000" w:usb2="00000010" w:usb3="00000000" w:csb0="000400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altName w:val="楷体_GB2312"/>
    <w:panose1 w:val="02010609060101010101"/>
    <w:charset w:val="86"/>
    <w:family w:val="modern"/>
    <w:pitch w:val="default"/>
    <w:sig w:usb0="00000000" w:usb1="00000000"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r>
      <w:fldChar w:fldCharType="begin"/>
    </w:r>
    <w:r>
      <w:instrText xml:space="preserve">PAGE   \* MERGEFORMAT</w:instrText>
    </w:r>
    <w:r>
      <w:fldChar w:fldCharType="separate"/>
    </w:r>
    <w:r>
      <w:rPr>
        <w:lang w:val="zh-CN"/>
      </w:rPr>
      <w:t>6</w:t>
    </w:r>
    <w:r>
      <w:rPr>
        <w:lang w:val="zh-CN"/>
      </w:rPr>
      <w:fldChar w:fldCharType="end"/>
    </w:r>
  </w:p>
  <w:p>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A6457"/>
    <w:rsid w:val="00000BA4"/>
    <w:rsid w:val="000157E0"/>
    <w:rsid w:val="00033081"/>
    <w:rsid w:val="00033990"/>
    <w:rsid w:val="00055637"/>
    <w:rsid w:val="00056465"/>
    <w:rsid w:val="00092191"/>
    <w:rsid w:val="00121AE4"/>
    <w:rsid w:val="00122947"/>
    <w:rsid w:val="001438E7"/>
    <w:rsid w:val="00146AAD"/>
    <w:rsid w:val="001B3A40"/>
    <w:rsid w:val="001F15F8"/>
    <w:rsid w:val="001F5EFE"/>
    <w:rsid w:val="00236561"/>
    <w:rsid w:val="002574E5"/>
    <w:rsid w:val="00284340"/>
    <w:rsid w:val="0029100D"/>
    <w:rsid w:val="002A2305"/>
    <w:rsid w:val="002E590A"/>
    <w:rsid w:val="003023B7"/>
    <w:rsid w:val="003452E4"/>
    <w:rsid w:val="00357455"/>
    <w:rsid w:val="003703BE"/>
    <w:rsid w:val="003908B7"/>
    <w:rsid w:val="00397208"/>
    <w:rsid w:val="003A729A"/>
    <w:rsid w:val="003E731A"/>
    <w:rsid w:val="00415DE3"/>
    <w:rsid w:val="004366A8"/>
    <w:rsid w:val="00502BA7"/>
    <w:rsid w:val="005162F1"/>
    <w:rsid w:val="00535153"/>
    <w:rsid w:val="00545CF0"/>
    <w:rsid w:val="00554F82"/>
    <w:rsid w:val="00557407"/>
    <w:rsid w:val="0056390D"/>
    <w:rsid w:val="005719B0"/>
    <w:rsid w:val="005C012B"/>
    <w:rsid w:val="005C666E"/>
    <w:rsid w:val="005D10D6"/>
    <w:rsid w:val="005E2527"/>
    <w:rsid w:val="0061025D"/>
    <w:rsid w:val="0063687E"/>
    <w:rsid w:val="0069633C"/>
    <w:rsid w:val="006E6BB4"/>
    <w:rsid w:val="006F5CC5"/>
    <w:rsid w:val="007346A2"/>
    <w:rsid w:val="00735E71"/>
    <w:rsid w:val="00743B81"/>
    <w:rsid w:val="007F6F53"/>
    <w:rsid w:val="00815A73"/>
    <w:rsid w:val="008436D1"/>
    <w:rsid w:val="00855E3A"/>
    <w:rsid w:val="0086007D"/>
    <w:rsid w:val="00860306"/>
    <w:rsid w:val="00894BFF"/>
    <w:rsid w:val="008C5890"/>
    <w:rsid w:val="008E429B"/>
    <w:rsid w:val="008F3C19"/>
    <w:rsid w:val="00922CB9"/>
    <w:rsid w:val="0092573B"/>
    <w:rsid w:val="009336AF"/>
    <w:rsid w:val="009564B6"/>
    <w:rsid w:val="00997750"/>
    <w:rsid w:val="009D153D"/>
    <w:rsid w:val="009E5CD9"/>
    <w:rsid w:val="00A22E8C"/>
    <w:rsid w:val="00A26421"/>
    <w:rsid w:val="00A367D8"/>
    <w:rsid w:val="00A4293B"/>
    <w:rsid w:val="00A60F8F"/>
    <w:rsid w:val="00A67D50"/>
    <w:rsid w:val="00A857E3"/>
    <w:rsid w:val="00A8691A"/>
    <w:rsid w:val="00AC1946"/>
    <w:rsid w:val="00B40063"/>
    <w:rsid w:val="00B41F61"/>
    <w:rsid w:val="00B86C20"/>
    <w:rsid w:val="00BA46E6"/>
    <w:rsid w:val="00BE2967"/>
    <w:rsid w:val="00BF37CC"/>
    <w:rsid w:val="00C56C72"/>
    <w:rsid w:val="00CA0751"/>
    <w:rsid w:val="00CA6457"/>
    <w:rsid w:val="00CE3FFB"/>
    <w:rsid w:val="00CF2418"/>
    <w:rsid w:val="00D16AF4"/>
    <w:rsid w:val="00D17F2E"/>
    <w:rsid w:val="00D30354"/>
    <w:rsid w:val="00D926BD"/>
    <w:rsid w:val="00DB1E6E"/>
    <w:rsid w:val="00DB3047"/>
    <w:rsid w:val="00DE11AB"/>
    <w:rsid w:val="00DF42A0"/>
    <w:rsid w:val="00E00D00"/>
    <w:rsid w:val="00E1079C"/>
    <w:rsid w:val="00E45E57"/>
    <w:rsid w:val="00E65B2E"/>
    <w:rsid w:val="00E7510F"/>
    <w:rsid w:val="00E769FE"/>
    <w:rsid w:val="00E86AF4"/>
    <w:rsid w:val="00EA2CBE"/>
    <w:rsid w:val="00EB469C"/>
    <w:rsid w:val="00F203EE"/>
    <w:rsid w:val="00F32FEE"/>
    <w:rsid w:val="00F612BD"/>
    <w:rsid w:val="00FB10BB"/>
    <w:rsid w:val="11EA5EE4"/>
    <w:rsid w:val="2CE84793"/>
    <w:rsid w:val="2EFA59D1"/>
    <w:rsid w:val="403D3C53"/>
    <w:rsid w:val="5ED90156"/>
    <w:rsid w:val="667D3EFC"/>
    <w:rsid w:val="69FB0AD0"/>
    <w:rsid w:val="711978C8"/>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99" w:name="Normal Indent" w:locked="1"/>
    <w:lsdException w:uiPriority="99" w:name="footnote text" w:locked="1"/>
    <w:lsdException w:uiPriority="99" w:name="annotation text" w:locked="1"/>
    <w:lsdException w:unhideWhenUsed="0" w:uiPriority="99" w:semiHidden="0" w:name="header"/>
    <w:lsdException w:qFormat="1" w:unhideWhenUsed="0" w:uiPriority="99" w:semiHidden="0" w:name="footer"/>
    <w:lsdException w:uiPriority="99" w:name="index heading" w:locked="1"/>
    <w:lsdException w:qFormat="1" w:uiPriority="0" w:name="caption"/>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uiPriority="1"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99" w:semiHidden="0" w:name="Subtitle"/>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99" w:semiHidden="0" w:name="Strong"/>
    <w:lsdException w:qFormat="1" w:unhideWhenUsed="0" w:uiPriority="99" w:semiHidden="0" w:name="Emphasis"/>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unhideWhenUsed="0" w:uiPriority="0"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9"/>
    <w:pPr>
      <w:keepNext/>
      <w:widowControl/>
      <w:spacing w:before="240" w:after="60"/>
      <w:jc w:val="left"/>
      <w:outlineLvl w:val="0"/>
    </w:pPr>
    <w:rPr>
      <w:rFonts w:ascii="Cambria" w:hAnsi="Cambria"/>
      <w:b/>
      <w:bCs/>
      <w:kern w:val="32"/>
      <w:sz w:val="32"/>
      <w:szCs w:val="32"/>
    </w:rPr>
  </w:style>
  <w:style w:type="paragraph" w:styleId="3">
    <w:name w:val="heading 2"/>
    <w:basedOn w:val="1"/>
    <w:next w:val="1"/>
    <w:link w:val="21"/>
    <w:qFormat/>
    <w:uiPriority w:val="99"/>
    <w:pPr>
      <w:keepNext/>
      <w:widowControl/>
      <w:spacing w:before="240" w:after="60"/>
      <w:jc w:val="left"/>
      <w:outlineLvl w:val="1"/>
    </w:pPr>
    <w:rPr>
      <w:rFonts w:ascii="Cambria" w:hAnsi="Cambria"/>
      <w:b/>
      <w:bCs/>
      <w:i/>
      <w:iCs/>
      <w:kern w:val="0"/>
      <w:sz w:val="28"/>
      <w:szCs w:val="28"/>
    </w:rPr>
  </w:style>
  <w:style w:type="paragraph" w:styleId="4">
    <w:name w:val="heading 3"/>
    <w:basedOn w:val="1"/>
    <w:next w:val="1"/>
    <w:link w:val="22"/>
    <w:qFormat/>
    <w:uiPriority w:val="99"/>
    <w:pPr>
      <w:keepNext/>
      <w:widowControl/>
      <w:spacing w:before="240" w:after="60"/>
      <w:jc w:val="left"/>
      <w:outlineLvl w:val="2"/>
    </w:pPr>
    <w:rPr>
      <w:rFonts w:ascii="Cambria" w:hAnsi="Cambria"/>
      <w:b/>
      <w:bCs/>
      <w:kern w:val="0"/>
      <w:sz w:val="26"/>
      <w:szCs w:val="26"/>
    </w:rPr>
  </w:style>
  <w:style w:type="paragraph" w:styleId="5">
    <w:name w:val="heading 4"/>
    <w:basedOn w:val="1"/>
    <w:next w:val="1"/>
    <w:link w:val="23"/>
    <w:qFormat/>
    <w:uiPriority w:val="99"/>
    <w:pPr>
      <w:keepNext/>
      <w:widowControl/>
      <w:spacing w:before="240" w:after="60"/>
      <w:jc w:val="left"/>
      <w:outlineLvl w:val="3"/>
    </w:pPr>
    <w:rPr>
      <w:rFonts w:ascii="Calibri" w:hAnsi="Calibri"/>
      <w:b/>
      <w:bCs/>
      <w:kern w:val="0"/>
      <w:sz w:val="28"/>
      <w:szCs w:val="28"/>
    </w:rPr>
  </w:style>
  <w:style w:type="paragraph" w:styleId="6">
    <w:name w:val="heading 5"/>
    <w:basedOn w:val="1"/>
    <w:next w:val="1"/>
    <w:link w:val="24"/>
    <w:qFormat/>
    <w:uiPriority w:val="99"/>
    <w:pPr>
      <w:widowControl/>
      <w:spacing w:before="240" w:after="60"/>
      <w:jc w:val="left"/>
      <w:outlineLvl w:val="4"/>
    </w:pPr>
    <w:rPr>
      <w:rFonts w:ascii="Calibri" w:hAnsi="Calibri"/>
      <w:b/>
      <w:bCs/>
      <w:i/>
      <w:iCs/>
      <w:kern w:val="0"/>
      <w:sz w:val="26"/>
      <w:szCs w:val="26"/>
    </w:rPr>
  </w:style>
  <w:style w:type="paragraph" w:styleId="7">
    <w:name w:val="heading 6"/>
    <w:basedOn w:val="1"/>
    <w:next w:val="1"/>
    <w:link w:val="25"/>
    <w:qFormat/>
    <w:uiPriority w:val="99"/>
    <w:pPr>
      <w:widowControl/>
      <w:spacing w:before="240" w:after="60"/>
      <w:jc w:val="left"/>
      <w:outlineLvl w:val="5"/>
    </w:pPr>
    <w:rPr>
      <w:rFonts w:ascii="Calibri" w:hAnsi="Calibri"/>
      <w:b/>
      <w:bCs/>
      <w:kern w:val="0"/>
      <w:sz w:val="22"/>
      <w:szCs w:val="22"/>
    </w:rPr>
  </w:style>
  <w:style w:type="paragraph" w:styleId="8">
    <w:name w:val="heading 7"/>
    <w:basedOn w:val="1"/>
    <w:next w:val="1"/>
    <w:link w:val="26"/>
    <w:qFormat/>
    <w:uiPriority w:val="99"/>
    <w:pPr>
      <w:widowControl/>
      <w:spacing w:before="240" w:after="60"/>
      <w:jc w:val="left"/>
      <w:outlineLvl w:val="6"/>
    </w:pPr>
    <w:rPr>
      <w:rFonts w:ascii="Calibri" w:hAnsi="Calibri"/>
      <w:kern w:val="0"/>
      <w:sz w:val="24"/>
    </w:rPr>
  </w:style>
  <w:style w:type="paragraph" w:styleId="9">
    <w:name w:val="heading 8"/>
    <w:basedOn w:val="1"/>
    <w:next w:val="1"/>
    <w:link w:val="27"/>
    <w:qFormat/>
    <w:uiPriority w:val="99"/>
    <w:pPr>
      <w:widowControl/>
      <w:spacing w:before="240" w:after="60"/>
      <w:jc w:val="left"/>
      <w:outlineLvl w:val="7"/>
    </w:pPr>
    <w:rPr>
      <w:rFonts w:ascii="Calibri" w:hAnsi="Calibri"/>
      <w:i/>
      <w:iCs/>
      <w:kern w:val="0"/>
      <w:sz w:val="24"/>
    </w:rPr>
  </w:style>
  <w:style w:type="paragraph" w:styleId="10">
    <w:name w:val="heading 9"/>
    <w:basedOn w:val="1"/>
    <w:next w:val="1"/>
    <w:link w:val="28"/>
    <w:qFormat/>
    <w:uiPriority w:val="99"/>
    <w:pPr>
      <w:widowControl/>
      <w:spacing w:before="240" w:after="60"/>
      <w:jc w:val="left"/>
      <w:outlineLvl w:val="8"/>
    </w:pPr>
    <w:rPr>
      <w:rFonts w:ascii="Cambria" w:hAnsi="Cambria"/>
      <w:kern w:val="0"/>
      <w:sz w:val="22"/>
      <w:szCs w:val="22"/>
    </w:rPr>
  </w:style>
  <w:style w:type="character" w:default="1" w:styleId="17">
    <w:name w:val="Default Paragraph Font"/>
    <w:semiHidden/>
    <w:unhideWhenUsed/>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qFormat/>
    <w:uiPriority w:val="99"/>
    <w:rPr>
      <w:sz w:val="18"/>
      <w:szCs w:val="18"/>
    </w:rPr>
  </w:style>
  <w:style w:type="paragraph" w:styleId="12">
    <w:name w:val="footer"/>
    <w:basedOn w:val="1"/>
    <w:link w:val="44"/>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99"/>
    <w:pPr>
      <w:widowControl/>
      <w:spacing w:after="60"/>
      <w:jc w:val="center"/>
      <w:outlineLvl w:val="1"/>
    </w:pPr>
    <w:rPr>
      <w:rFonts w:ascii="Cambria" w:hAnsi="Cambria"/>
      <w:kern w:val="0"/>
      <w:sz w:val="24"/>
    </w:rPr>
  </w:style>
  <w:style w:type="paragraph" w:styleId="15">
    <w:name w:val="Title"/>
    <w:basedOn w:val="1"/>
    <w:next w:val="1"/>
    <w:link w:val="29"/>
    <w:qFormat/>
    <w:uiPriority w:val="99"/>
    <w:pPr>
      <w:widowControl/>
      <w:spacing w:before="240" w:after="60"/>
      <w:jc w:val="center"/>
      <w:outlineLvl w:val="0"/>
    </w:pPr>
    <w:rPr>
      <w:rFonts w:ascii="Cambria" w:hAnsi="Cambria"/>
      <w:b/>
      <w:bCs/>
      <w:kern w:val="28"/>
      <w:sz w:val="32"/>
      <w:szCs w:val="32"/>
    </w:rPr>
  </w:style>
  <w:style w:type="character" w:styleId="18">
    <w:name w:val="Strong"/>
    <w:qFormat/>
    <w:uiPriority w:val="99"/>
    <w:rPr>
      <w:rFonts w:cs="Times New Roman"/>
      <w:b/>
      <w:bCs/>
    </w:rPr>
  </w:style>
  <w:style w:type="character" w:styleId="19">
    <w:name w:val="Emphasis"/>
    <w:qFormat/>
    <w:uiPriority w:val="99"/>
    <w:rPr>
      <w:rFonts w:ascii="Calibri" w:hAnsi="Calibri" w:cs="Times New Roman"/>
      <w:b/>
      <w:i/>
      <w:iCs/>
    </w:rPr>
  </w:style>
  <w:style w:type="character" w:customStyle="1" w:styleId="20">
    <w:name w:val="标题 1 字符"/>
    <w:link w:val="2"/>
    <w:qFormat/>
    <w:locked/>
    <w:uiPriority w:val="99"/>
    <w:rPr>
      <w:rFonts w:ascii="Cambria" w:hAnsi="Cambria" w:eastAsia="宋体" w:cs="Times New Roman"/>
      <w:b/>
      <w:bCs/>
      <w:kern w:val="32"/>
      <w:sz w:val="32"/>
      <w:szCs w:val="32"/>
    </w:rPr>
  </w:style>
  <w:style w:type="character" w:customStyle="1" w:styleId="21">
    <w:name w:val="标题 2 字符"/>
    <w:link w:val="3"/>
    <w:semiHidden/>
    <w:qFormat/>
    <w:locked/>
    <w:uiPriority w:val="99"/>
    <w:rPr>
      <w:rFonts w:ascii="Cambria" w:hAnsi="Cambria" w:eastAsia="宋体" w:cs="Times New Roman"/>
      <w:b/>
      <w:bCs/>
      <w:i/>
      <w:iCs/>
      <w:sz w:val="28"/>
      <w:szCs w:val="28"/>
    </w:rPr>
  </w:style>
  <w:style w:type="character" w:customStyle="1" w:styleId="22">
    <w:name w:val="标题 3 字符"/>
    <w:link w:val="4"/>
    <w:semiHidden/>
    <w:locked/>
    <w:uiPriority w:val="99"/>
    <w:rPr>
      <w:rFonts w:ascii="Cambria" w:hAnsi="Cambria" w:eastAsia="宋体" w:cs="Times New Roman"/>
      <w:b/>
      <w:bCs/>
      <w:sz w:val="26"/>
      <w:szCs w:val="26"/>
    </w:rPr>
  </w:style>
  <w:style w:type="character" w:customStyle="1" w:styleId="23">
    <w:name w:val="标题 4 字符"/>
    <w:link w:val="5"/>
    <w:semiHidden/>
    <w:qFormat/>
    <w:locked/>
    <w:uiPriority w:val="99"/>
    <w:rPr>
      <w:rFonts w:cs="Times New Roman"/>
      <w:b/>
      <w:bCs/>
      <w:sz w:val="28"/>
      <w:szCs w:val="28"/>
    </w:rPr>
  </w:style>
  <w:style w:type="character" w:customStyle="1" w:styleId="24">
    <w:name w:val="标题 5 字符"/>
    <w:link w:val="6"/>
    <w:semiHidden/>
    <w:qFormat/>
    <w:locked/>
    <w:uiPriority w:val="99"/>
    <w:rPr>
      <w:rFonts w:cs="Times New Roman"/>
      <w:b/>
      <w:bCs/>
      <w:i/>
      <w:iCs/>
      <w:sz w:val="26"/>
      <w:szCs w:val="26"/>
    </w:rPr>
  </w:style>
  <w:style w:type="character" w:customStyle="1" w:styleId="25">
    <w:name w:val="标题 6 字符"/>
    <w:link w:val="7"/>
    <w:semiHidden/>
    <w:qFormat/>
    <w:locked/>
    <w:uiPriority w:val="99"/>
    <w:rPr>
      <w:rFonts w:cs="Times New Roman"/>
      <w:b/>
      <w:bCs/>
    </w:rPr>
  </w:style>
  <w:style w:type="character" w:customStyle="1" w:styleId="26">
    <w:name w:val="标题 7 字符"/>
    <w:link w:val="8"/>
    <w:semiHidden/>
    <w:locked/>
    <w:uiPriority w:val="99"/>
    <w:rPr>
      <w:rFonts w:cs="Times New Roman"/>
      <w:sz w:val="24"/>
      <w:szCs w:val="24"/>
    </w:rPr>
  </w:style>
  <w:style w:type="character" w:customStyle="1" w:styleId="27">
    <w:name w:val="标题 8 字符"/>
    <w:link w:val="9"/>
    <w:semiHidden/>
    <w:qFormat/>
    <w:locked/>
    <w:uiPriority w:val="99"/>
    <w:rPr>
      <w:rFonts w:cs="Times New Roman"/>
      <w:i/>
      <w:iCs/>
      <w:sz w:val="24"/>
      <w:szCs w:val="24"/>
    </w:rPr>
  </w:style>
  <w:style w:type="character" w:customStyle="1" w:styleId="28">
    <w:name w:val="标题 9 字符"/>
    <w:link w:val="10"/>
    <w:semiHidden/>
    <w:locked/>
    <w:uiPriority w:val="99"/>
    <w:rPr>
      <w:rFonts w:ascii="Cambria" w:hAnsi="Cambria" w:eastAsia="宋体" w:cs="Times New Roman"/>
    </w:rPr>
  </w:style>
  <w:style w:type="character" w:customStyle="1" w:styleId="29">
    <w:name w:val="标题 字符"/>
    <w:link w:val="15"/>
    <w:qFormat/>
    <w:locked/>
    <w:uiPriority w:val="99"/>
    <w:rPr>
      <w:rFonts w:ascii="Cambria" w:hAnsi="Cambria" w:eastAsia="宋体" w:cs="Times New Roman"/>
      <w:b/>
      <w:bCs/>
      <w:kern w:val="28"/>
      <w:sz w:val="32"/>
      <w:szCs w:val="32"/>
    </w:rPr>
  </w:style>
  <w:style w:type="character" w:customStyle="1" w:styleId="30">
    <w:name w:val="副标题 字符"/>
    <w:link w:val="14"/>
    <w:qFormat/>
    <w:locked/>
    <w:uiPriority w:val="99"/>
    <w:rPr>
      <w:rFonts w:ascii="Cambria" w:hAnsi="Cambria" w:eastAsia="宋体" w:cs="Times New Roman"/>
      <w:sz w:val="24"/>
      <w:szCs w:val="24"/>
    </w:rPr>
  </w:style>
  <w:style w:type="paragraph" w:customStyle="1" w:styleId="31">
    <w:name w:val="无间隔1"/>
    <w:basedOn w:val="1"/>
    <w:qFormat/>
    <w:uiPriority w:val="99"/>
    <w:pPr>
      <w:widowControl/>
      <w:jc w:val="left"/>
    </w:pPr>
    <w:rPr>
      <w:rFonts w:ascii="Calibri" w:hAnsi="Calibri"/>
      <w:kern w:val="0"/>
      <w:sz w:val="24"/>
      <w:szCs w:val="32"/>
      <w:lang w:eastAsia="en-US"/>
    </w:rPr>
  </w:style>
  <w:style w:type="paragraph" w:customStyle="1" w:styleId="32">
    <w:name w:val="列出段落1"/>
    <w:basedOn w:val="1"/>
    <w:qFormat/>
    <w:uiPriority w:val="99"/>
    <w:pPr>
      <w:widowControl/>
      <w:ind w:left="720"/>
      <w:contextualSpacing/>
      <w:jc w:val="left"/>
    </w:pPr>
    <w:rPr>
      <w:rFonts w:ascii="Calibri" w:hAnsi="Calibri"/>
      <w:kern w:val="0"/>
      <w:sz w:val="24"/>
      <w:lang w:eastAsia="en-US"/>
    </w:rPr>
  </w:style>
  <w:style w:type="paragraph" w:customStyle="1" w:styleId="33">
    <w:name w:val="引用1"/>
    <w:basedOn w:val="1"/>
    <w:next w:val="1"/>
    <w:link w:val="34"/>
    <w:qFormat/>
    <w:uiPriority w:val="99"/>
    <w:pPr>
      <w:widowControl/>
      <w:jc w:val="left"/>
    </w:pPr>
    <w:rPr>
      <w:rFonts w:ascii="Calibri" w:hAnsi="Calibri"/>
      <w:i/>
      <w:kern w:val="0"/>
      <w:sz w:val="24"/>
    </w:rPr>
  </w:style>
  <w:style w:type="character" w:customStyle="1" w:styleId="34">
    <w:name w:val="引用 Char"/>
    <w:link w:val="33"/>
    <w:locked/>
    <w:uiPriority w:val="99"/>
    <w:rPr>
      <w:rFonts w:cs="Times New Roman"/>
      <w:i/>
      <w:sz w:val="24"/>
      <w:szCs w:val="24"/>
    </w:rPr>
  </w:style>
  <w:style w:type="paragraph" w:customStyle="1" w:styleId="35">
    <w:name w:val="明显引用1"/>
    <w:basedOn w:val="1"/>
    <w:next w:val="1"/>
    <w:link w:val="36"/>
    <w:qFormat/>
    <w:uiPriority w:val="99"/>
    <w:pPr>
      <w:widowControl/>
      <w:ind w:left="720" w:right="720"/>
      <w:jc w:val="left"/>
    </w:pPr>
    <w:rPr>
      <w:rFonts w:ascii="Calibri" w:hAnsi="Calibri"/>
      <w:b/>
      <w:i/>
      <w:kern w:val="0"/>
      <w:sz w:val="24"/>
      <w:szCs w:val="22"/>
    </w:rPr>
  </w:style>
  <w:style w:type="character" w:customStyle="1" w:styleId="36">
    <w:name w:val="明显引用 Char"/>
    <w:link w:val="35"/>
    <w:qFormat/>
    <w:locked/>
    <w:uiPriority w:val="99"/>
    <w:rPr>
      <w:rFonts w:cs="Times New Roman"/>
      <w:b/>
      <w:i/>
      <w:sz w:val="24"/>
    </w:rPr>
  </w:style>
  <w:style w:type="character" w:customStyle="1" w:styleId="37">
    <w:name w:val="不明显强调1"/>
    <w:qFormat/>
    <w:uiPriority w:val="99"/>
    <w:rPr>
      <w:rFonts w:cs="Times New Roman"/>
      <w:i/>
      <w:color w:val="5A5A5A"/>
    </w:rPr>
  </w:style>
  <w:style w:type="character" w:customStyle="1" w:styleId="38">
    <w:name w:val="明显强调1"/>
    <w:qFormat/>
    <w:uiPriority w:val="99"/>
    <w:rPr>
      <w:rFonts w:cs="Times New Roman"/>
      <w:b/>
      <w:i/>
      <w:sz w:val="24"/>
      <w:szCs w:val="24"/>
      <w:u w:val="single"/>
    </w:rPr>
  </w:style>
  <w:style w:type="character" w:customStyle="1" w:styleId="39">
    <w:name w:val="不明显参考1"/>
    <w:qFormat/>
    <w:uiPriority w:val="99"/>
    <w:rPr>
      <w:rFonts w:cs="Times New Roman"/>
      <w:sz w:val="24"/>
      <w:szCs w:val="24"/>
      <w:u w:val="single"/>
    </w:rPr>
  </w:style>
  <w:style w:type="character" w:customStyle="1" w:styleId="40">
    <w:name w:val="明显参考1"/>
    <w:qFormat/>
    <w:uiPriority w:val="99"/>
    <w:rPr>
      <w:rFonts w:cs="Times New Roman"/>
      <w:b/>
      <w:sz w:val="24"/>
      <w:u w:val="single"/>
    </w:rPr>
  </w:style>
  <w:style w:type="character" w:customStyle="1" w:styleId="41">
    <w:name w:val="书籍标题1"/>
    <w:qFormat/>
    <w:uiPriority w:val="99"/>
    <w:rPr>
      <w:rFonts w:ascii="Cambria" w:hAnsi="Cambria" w:eastAsia="宋体" w:cs="Times New Roman"/>
      <w:b/>
      <w:i/>
      <w:sz w:val="24"/>
      <w:szCs w:val="24"/>
    </w:rPr>
  </w:style>
  <w:style w:type="paragraph" w:customStyle="1" w:styleId="42">
    <w:name w:val="TOC 标题1"/>
    <w:basedOn w:val="2"/>
    <w:next w:val="1"/>
    <w:qFormat/>
    <w:uiPriority w:val="99"/>
    <w:pPr>
      <w:outlineLvl w:val="9"/>
    </w:pPr>
    <w:rPr>
      <w:lang w:eastAsia="en-US"/>
    </w:rPr>
  </w:style>
  <w:style w:type="character" w:customStyle="1" w:styleId="43">
    <w:name w:val="页眉 字符"/>
    <w:link w:val="13"/>
    <w:qFormat/>
    <w:locked/>
    <w:uiPriority w:val="99"/>
    <w:rPr>
      <w:rFonts w:ascii="Calibri" w:hAnsi="Calibri" w:eastAsia="宋体" w:cs="Times New Roman"/>
      <w:kern w:val="2"/>
      <w:sz w:val="18"/>
      <w:szCs w:val="18"/>
    </w:rPr>
  </w:style>
  <w:style w:type="character" w:customStyle="1" w:styleId="44">
    <w:name w:val="页脚 字符"/>
    <w:link w:val="12"/>
    <w:qFormat/>
    <w:locked/>
    <w:uiPriority w:val="99"/>
    <w:rPr>
      <w:rFonts w:ascii="Calibri" w:hAnsi="Calibri" w:eastAsia="宋体" w:cs="Times New Roman"/>
      <w:kern w:val="2"/>
      <w:sz w:val="18"/>
      <w:szCs w:val="18"/>
    </w:rPr>
  </w:style>
  <w:style w:type="character" w:customStyle="1" w:styleId="45">
    <w:name w:val="批注框文本 字符"/>
    <w:link w:val="11"/>
    <w:semiHidden/>
    <w:qFormat/>
    <w:locked/>
    <w:uiPriority w:val="99"/>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6</Pages>
  <Words>355</Words>
  <Characters>2028</Characters>
  <Lines>16</Lines>
  <Paragraphs>4</Paragraphs>
  <TotalTime>4</TotalTime>
  <ScaleCrop>false</ScaleCrop>
  <LinksUpToDate>false</LinksUpToDate>
  <CharactersWithSpaces>2379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2021-05-29T11:30:15Z</dcterms:modified>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