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STZhongsong" w:hAnsi="STZhongsong" w:eastAsia="STZhongsong" w:cs="宋体"/>
          <w:b/>
          <w:kern w:val="0"/>
          <w:sz w:val="52"/>
          <w:szCs w:val="52"/>
        </w:rPr>
      </w:pPr>
    </w:p>
    <w:p>
      <w:pPr>
        <w:spacing w:line="540" w:lineRule="exact"/>
        <w:jc w:val="center"/>
        <w:rPr>
          <w:rFonts w:ascii="STZhongsong" w:hAnsi="STZhongsong" w:eastAsia="STZhongsong" w:cs="宋体"/>
          <w:b/>
          <w:kern w:val="0"/>
          <w:sz w:val="52"/>
          <w:szCs w:val="52"/>
        </w:rPr>
      </w:pPr>
      <w:bookmarkStart w:id="1" w:name="_GoBack"/>
      <w:bookmarkEnd w:id="1"/>
    </w:p>
    <w:p>
      <w:pPr>
        <w:spacing w:line="540" w:lineRule="exact"/>
        <w:jc w:val="center"/>
        <w:rPr>
          <w:rFonts w:ascii="STZhongsong" w:hAnsi="STZhongsong" w:eastAsia="STZhongsong" w:cs="宋体"/>
          <w:b/>
          <w:kern w:val="0"/>
          <w:sz w:val="52"/>
          <w:szCs w:val="52"/>
        </w:rPr>
      </w:pPr>
    </w:p>
    <w:p>
      <w:pPr>
        <w:spacing w:line="540" w:lineRule="exact"/>
        <w:jc w:val="center"/>
        <w:rPr>
          <w:rFonts w:ascii="STZhongsong" w:hAnsi="STZhongsong" w:eastAsia="STZhongsong" w:cs="宋体"/>
          <w:b/>
          <w:kern w:val="0"/>
          <w:sz w:val="52"/>
          <w:szCs w:val="52"/>
        </w:rPr>
      </w:pPr>
    </w:p>
    <w:p>
      <w:pPr>
        <w:spacing w:line="540" w:lineRule="exact"/>
        <w:jc w:val="center"/>
        <w:rPr>
          <w:rFonts w:ascii="STZhongsong" w:hAnsi="STZhongsong" w:eastAsia="STZhongsong" w:cs="宋体"/>
          <w:b/>
          <w:kern w:val="0"/>
          <w:sz w:val="52"/>
          <w:szCs w:val="52"/>
        </w:rPr>
      </w:pPr>
    </w:p>
    <w:p>
      <w:pPr>
        <w:spacing w:line="540" w:lineRule="exact"/>
        <w:jc w:val="center"/>
        <w:rPr>
          <w:rFonts w:ascii="STZhongsong" w:hAnsi="STZhongsong" w:eastAsia="STZhongsong" w:cs="宋体"/>
          <w:b/>
          <w:kern w:val="0"/>
          <w:sz w:val="52"/>
          <w:szCs w:val="52"/>
        </w:rPr>
      </w:pPr>
    </w:p>
    <w:p>
      <w:pPr>
        <w:spacing w:line="540" w:lineRule="exact"/>
        <w:jc w:val="center"/>
        <w:rPr>
          <w:rFonts w:ascii="STZhongsong" w:hAnsi="STZhongsong" w:eastAsia="STZhongsong" w:cs="宋体"/>
          <w:b/>
          <w:kern w:val="0"/>
          <w:sz w:val="52"/>
          <w:szCs w:val="52"/>
        </w:rPr>
      </w:pPr>
    </w:p>
    <w:p>
      <w:pPr>
        <w:spacing w:line="540" w:lineRule="exact"/>
        <w:jc w:val="center"/>
        <w:rPr>
          <w:rFonts w:hint="eastAsia" w:ascii="方正小标宋_GBK" w:hAnsi="STZhongsong" w:eastAsia="方正小标宋_GBK" w:cs="宋体"/>
          <w:b/>
          <w:kern w:val="0"/>
          <w:sz w:val="48"/>
          <w:szCs w:val="48"/>
        </w:rPr>
      </w:pPr>
      <w:r>
        <w:rPr>
          <w:rFonts w:hint="eastAsia" w:ascii="方正小标宋_GBK" w:hAnsi="STZhongsong" w:eastAsia="方正小标宋_GBK" w:cs="宋体"/>
          <w:b/>
          <w:kern w:val="0"/>
          <w:sz w:val="48"/>
          <w:szCs w:val="48"/>
        </w:rPr>
        <w:t>新疆巴州和静县财政项目支出绩效</w:t>
      </w:r>
    </w:p>
    <w:p>
      <w:pPr>
        <w:spacing w:line="540" w:lineRule="exact"/>
        <w:jc w:val="center"/>
        <w:rPr>
          <w:rFonts w:ascii="方正小标宋_GBK" w:hAnsi="STZhongsong" w:eastAsia="方正小标宋_GBK" w:cs="宋体"/>
          <w:b/>
          <w:kern w:val="0"/>
          <w:sz w:val="48"/>
          <w:szCs w:val="48"/>
        </w:rPr>
      </w:pPr>
      <w:r>
        <w:rPr>
          <w:rFonts w:hint="eastAsia" w:ascii="方正小标宋_GBK" w:hAnsi="STZhongsong" w:eastAsia="方正小标宋_GBK" w:cs="宋体"/>
          <w:b/>
          <w:kern w:val="0"/>
          <w:sz w:val="48"/>
          <w:szCs w:val="48"/>
        </w:rPr>
        <w:t>自评报告</w:t>
      </w:r>
    </w:p>
    <w:p>
      <w:pPr>
        <w:spacing w:line="540" w:lineRule="exact"/>
        <w:jc w:val="center"/>
        <w:rPr>
          <w:rFonts w:ascii="STZhongsong" w:hAnsi="STZhongsong" w:eastAsia="STZhongsong"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项目名称：破产企业改制经费</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实施单位（公章）：和静县巴仑台镇社会保障服务中心</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主管部门（公章）：和静县财政局</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项目负责人（签章）：胡春来</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201</w:t>
      </w:r>
      <w:r>
        <w:rPr>
          <w:rFonts w:hint="eastAsia" w:hAnsi="宋体" w:eastAsia="仿宋_GB2312" w:cs="宋体"/>
          <w:kern w:val="0"/>
          <w:sz w:val="36"/>
          <w:szCs w:val="36"/>
        </w:rPr>
        <w:t>9年</w:t>
      </w:r>
      <w:r>
        <w:rPr>
          <w:rFonts w:hAnsi="宋体" w:eastAsia="仿宋_GB2312" w:cs="宋体"/>
          <w:kern w:val="0"/>
          <w:sz w:val="36"/>
          <w:szCs w:val="36"/>
        </w:rPr>
        <w:t>1</w:t>
      </w:r>
      <w:r>
        <w:rPr>
          <w:rFonts w:hint="eastAsia" w:hAnsi="宋体" w:eastAsia="仿宋_GB2312" w:cs="宋体"/>
          <w:kern w:val="0"/>
          <w:sz w:val="36"/>
          <w:szCs w:val="36"/>
        </w:rPr>
        <w:t>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和静县财政局，为全额拨款行政单位，主要职责是</w:t>
      </w:r>
      <w:r>
        <w:rPr>
          <w:rFonts w:ascii="仿宋_GB2312" w:eastAsia="仿宋_GB2312" w:cs="仿宋_GB2312"/>
          <w:sz w:val="32"/>
          <w:szCs w:val="32"/>
        </w:rPr>
        <w:t>:</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1</w:t>
      </w:r>
      <w:r>
        <w:rPr>
          <w:rFonts w:hint="eastAsia" w:ascii="仿宋_GB2312" w:eastAsia="仿宋_GB2312" w:cs="仿宋_GB2312"/>
          <w:sz w:val="32"/>
          <w:szCs w:val="32"/>
        </w:rPr>
        <w:t>）贯彻执行国家财政、税收、国有资产管理的法规、制度和方针、政策；承担我县各项财政收支管理责任，</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2</w:t>
      </w:r>
      <w:r>
        <w:rPr>
          <w:rFonts w:hint="eastAsia" w:ascii="仿宋_GB2312" w:eastAsia="仿宋_GB2312" w:cs="仿宋_GB2312"/>
          <w:sz w:val="32"/>
          <w:szCs w:val="32"/>
        </w:rPr>
        <w:t>）负责编制县本级预决算草案并组织执行，受和静县人民政府委托向和静县人民代表大会报告县级预算及其执行情况，向县人大常委会报告决算；组织制定经费开支标准、定额，负责财政预决算工作；完善转移支付制度。</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3</w:t>
      </w:r>
      <w:r>
        <w:rPr>
          <w:rFonts w:hint="eastAsia" w:ascii="仿宋_GB2312" w:eastAsia="仿宋_GB2312" w:cs="仿宋_GB2312"/>
          <w:sz w:val="32"/>
          <w:szCs w:val="32"/>
        </w:rPr>
        <w:t>）负责政府非税收入和政府性基金管理；组织制定国库管理制度、国库集中首付制度；按规定开展地方债</w:t>
      </w:r>
      <w:r>
        <w:rPr>
          <w:rFonts w:hint="eastAsia" w:ascii="宋体" w:hAnsi="宋体" w:cs="宋体"/>
          <w:sz w:val="32"/>
          <w:szCs w:val="32"/>
        </w:rPr>
        <w:t>劵</w:t>
      </w:r>
      <w:r>
        <w:rPr>
          <w:rFonts w:hint="eastAsia" w:ascii="仿宋_GB2312" w:hAnsi="仿宋_GB2312" w:eastAsia="仿宋_GB2312" w:cs="仿宋_GB2312"/>
          <w:sz w:val="32"/>
          <w:szCs w:val="32"/>
        </w:rPr>
        <w:t>管理工作，负责组织申报地方政府债</w:t>
      </w:r>
      <w:r>
        <w:rPr>
          <w:rFonts w:hint="eastAsia" w:ascii="宋体" w:hAnsi="宋体" w:cs="宋体"/>
          <w:sz w:val="32"/>
          <w:szCs w:val="32"/>
        </w:rPr>
        <w:t>劵</w:t>
      </w:r>
      <w:r>
        <w:rPr>
          <w:rFonts w:hint="eastAsia" w:ascii="仿宋_GB2312" w:hAnsi="仿宋_GB2312" w:eastAsia="仿宋_GB2312" w:cs="仿宋_GB2312"/>
          <w:sz w:val="32"/>
          <w:szCs w:val="32"/>
        </w:rPr>
        <w:t>项目工作，防范化解政府债务风险；承担有关政策性补贴和专项储备</w:t>
      </w:r>
      <w:r>
        <w:rPr>
          <w:rFonts w:hint="eastAsia" w:ascii="仿宋_GB2312" w:eastAsia="仿宋_GB2312" w:cs="仿宋_GB2312"/>
          <w:sz w:val="32"/>
          <w:szCs w:val="32"/>
        </w:rPr>
        <w:t>资金财政管理工作，管理各项扶贫资金。</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4</w:t>
      </w:r>
      <w:r>
        <w:rPr>
          <w:rFonts w:hint="eastAsia" w:ascii="仿宋_GB2312" w:eastAsia="仿宋_GB2312" w:cs="仿宋_GB2312"/>
          <w:sz w:val="32"/>
          <w:szCs w:val="32"/>
        </w:rPr>
        <w:t>）制定县行政事业单位国有资产管理政策制度并组织实施，按规定管理行政事业单位国有资产。</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5</w:t>
      </w:r>
      <w:r>
        <w:rPr>
          <w:rFonts w:hint="eastAsia" w:ascii="仿宋_GB2312" w:eastAsia="仿宋_GB2312" w:cs="仿宋_GB2312"/>
          <w:sz w:val="32"/>
          <w:szCs w:val="32"/>
        </w:rPr>
        <w:t>）负责审核和汇总编制国有资本经营预决算草案，制定国有资本经营预算的制度和办法，收取和静县本级企业国有资本收益。</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6</w:t>
      </w:r>
      <w:r>
        <w:rPr>
          <w:rFonts w:hint="eastAsia" w:ascii="仿宋_GB2312" w:eastAsia="仿宋_GB2312" w:cs="仿宋_GB2312"/>
          <w:sz w:val="32"/>
          <w:szCs w:val="32"/>
        </w:rPr>
        <w:t>）管理和指导会计工作，规范会计行为；</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7</w:t>
      </w:r>
      <w:r>
        <w:rPr>
          <w:rFonts w:hint="eastAsia" w:ascii="仿宋_GB2312" w:eastAsia="仿宋_GB2312" w:cs="仿宋_GB2312"/>
          <w:sz w:val="32"/>
          <w:szCs w:val="32"/>
        </w:rPr>
        <w:t>）监督检查财税法规、政策的执行情况，反映财政收支管理中的重大问题，提出加强财政管理的政策建议。组织指导全县本级和全县各部门单位预算绩效管理工作；组织实施专项资金绩效考核工作；</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8</w:t>
      </w:r>
      <w:r>
        <w:rPr>
          <w:rFonts w:hint="eastAsia" w:ascii="仿宋_GB2312" w:eastAsia="仿宋_GB2312" w:cs="仿宋_GB2312"/>
          <w:sz w:val="32"/>
          <w:szCs w:val="32"/>
        </w:rPr>
        <w:t>）负责本部门党的建设、党风廉政建设和反腐败、精神文明、维护稳定、访惠聚、综合治理、民族团结、等工作。</w:t>
      </w:r>
    </w:p>
    <w:p>
      <w:pPr>
        <w:spacing w:line="360" w:lineRule="auto"/>
        <w:ind w:firstLine="656" w:firstLineChars="205"/>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9</w:t>
      </w:r>
      <w:r>
        <w:rPr>
          <w:rFonts w:hint="eastAsia" w:ascii="仿宋_GB2312" w:eastAsia="仿宋_GB2312" w:cs="仿宋_GB2312"/>
          <w:sz w:val="32"/>
          <w:szCs w:val="32"/>
        </w:rPr>
        <w:t>）从预算单位构成看，和静县财政局的部门预算包括：财政局本级预算及下属事业单位和和静县乡镇财政管理局在内的汇总预算。</w:t>
      </w:r>
    </w:p>
    <w:p>
      <w:pPr>
        <w:spacing w:line="360" w:lineRule="auto"/>
        <w:ind w:firstLine="640" w:firstLineChars="200"/>
        <w:rPr>
          <w:rFonts w:ascii="仿宋_GB2312" w:eastAsia="仿宋_GB2312"/>
          <w:sz w:val="32"/>
          <w:szCs w:val="32"/>
        </w:rPr>
      </w:pPr>
      <w:r>
        <w:rPr>
          <w:rFonts w:ascii="仿宋_GB2312" w:eastAsia="仿宋_GB2312" w:cs="仿宋_GB2312"/>
          <w:sz w:val="32"/>
          <w:szCs w:val="32"/>
        </w:rPr>
        <w:t>2</w:t>
      </w:r>
      <w:r>
        <w:rPr>
          <w:rFonts w:hint="eastAsia" w:ascii="仿宋_GB2312" w:eastAsia="仿宋_GB2312" w:cs="仿宋_GB2312"/>
          <w:sz w:val="32"/>
          <w:szCs w:val="32"/>
        </w:rPr>
        <w:t>、机构设置及人员情况</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财政部门本级下设</w:t>
      </w:r>
      <w:r>
        <w:rPr>
          <w:rFonts w:ascii="仿宋_GB2312" w:eastAsia="仿宋_GB2312" w:cs="仿宋_GB2312"/>
          <w:sz w:val="32"/>
          <w:szCs w:val="32"/>
        </w:rPr>
        <w:t xml:space="preserve"> 11 </w:t>
      </w:r>
      <w:r>
        <w:rPr>
          <w:rFonts w:hint="eastAsia" w:ascii="仿宋_GB2312" w:eastAsia="仿宋_GB2312" w:cs="仿宋_GB2312"/>
          <w:sz w:val="32"/>
          <w:szCs w:val="32"/>
        </w:rPr>
        <w:t>个科室，分别是：内设办公室、预算股、国库股、行政政法和科教文股、经济建设股、农业股、社会保障股、综合股（非税收入管理股）、会计股、化债办、票据股。所属事业单位有：国有资产监督管理委员会、农业综合开发办公室、国库集中支付中心、政府采购中心、政府采购办、金融办、基本建设投资评审中心。本部门中，行政单位</w:t>
      </w:r>
      <w:r>
        <w:rPr>
          <w:rFonts w:ascii="仿宋_GB2312" w:eastAsia="仿宋_GB2312" w:cs="仿宋_GB2312"/>
          <w:sz w:val="32"/>
          <w:szCs w:val="32"/>
        </w:rPr>
        <w:t xml:space="preserve"> 1 </w:t>
      </w:r>
      <w:r>
        <w:rPr>
          <w:rFonts w:hint="eastAsia" w:ascii="仿宋_GB2312" w:eastAsia="仿宋_GB2312" w:cs="仿宋_GB2312"/>
          <w:sz w:val="32"/>
          <w:szCs w:val="32"/>
        </w:rPr>
        <w:t>家，参公管理事业单位</w:t>
      </w:r>
      <w:r>
        <w:rPr>
          <w:rFonts w:ascii="仿宋_GB2312" w:eastAsia="仿宋_GB2312" w:cs="仿宋_GB2312"/>
          <w:sz w:val="32"/>
          <w:szCs w:val="32"/>
        </w:rPr>
        <w:t xml:space="preserve"> 2 </w:t>
      </w:r>
      <w:r>
        <w:rPr>
          <w:rFonts w:hint="eastAsia" w:ascii="仿宋_GB2312" w:eastAsia="仿宋_GB2312" w:cs="仿宋_GB2312"/>
          <w:sz w:val="32"/>
          <w:szCs w:val="32"/>
        </w:rPr>
        <w:t>家</w:t>
      </w:r>
      <w:r>
        <w:rPr>
          <w:rFonts w:ascii="仿宋_GB2312" w:eastAsia="仿宋_GB2312" w:cs="仿宋_GB2312"/>
          <w:sz w:val="32"/>
          <w:szCs w:val="32"/>
        </w:rPr>
        <w:t>,</w:t>
      </w:r>
      <w:r>
        <w:rPr>
          <w:rFonts w:hint="eastAsia" w:ascii="仿宋_GB2312" w:eastAsia="仿宋_GB2312" w:cs="仿宋_GB2312"/>
          <w:sz w:val="32"/>
          <w:szCs w:val="32"/>
        </w:rPr>
        <w:t>事</w:t>
      </w:r>
      <w:bookmarkStart w:id="0" w:name="page7"/>
      <w:bookmarkEnd w:id="0"/>
      <w:r>
        <w:rPr>
          <w:rFonts w:hint="eastAsia" w:ascii="仿宋_GB2312" w:eastAsia="仿宋_GB2312" w:cs="仿宋_GB2312"/>
          <w:sz w:val="32"/>
          <w:szCs w:val="32"/>
        </w:rPr>
        <w:t>业单位</w:t>
      </w:r>
      <w:r>
        <w:rPr>
          <w:rFonts w:ascii="仿宋_GB2312" w:eastAsia="仿宋_GB2312" w:cs="仿宋_GB2312"/>
          <w:sz w:val="32"/>
          <w:szCs w:val="32"/>
        </w:rPr>
        <w:t xml:space="preserve"> 6 </w:t>
      </w:r>
      <w:r>
        <w:rPr>
          <w:rFonts w:hint="eastAsia" w:ascii="仿宋_GB2312" w:eastAsia="仿宋_GB2312" w:cs="仿宋_GB2312"/>
          <w:sz w:val="32"/>
          <w:szCs w:val="32"/>
        </w:rPr>
        <w:t>家，纳入县财政部门</w:t>
      </w:r>
      <w:r>
        <w:rPr>
          <w:rFonts w:ascii="仿宋_GB2312" w:eastAsia="仿宋_GB2312" w:cs="仿宋_GB2312"/>
          <w:sz w:val="32"/>
          <w:szCs w:val="32"/>
        </w:rPr>
        <w:t xml:space="preserve"> 2019 </w:t>
      </w:r>
      <w:r>
        <w:rPr>
          <w:rFonts w:hint="eastAsia" w:ascii="仿宋_GB2312" w:eastAsia="仿宋_GB2312" w:cs="仿宋_GB2312"/>
          <w:sz w:val="32"/>
          <w:szCs w:val="32"/>
        </w:rPr>
        <w:t>年部门预算编制范围的二级预算单位包括：</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1</w:t>
      </w:r>
      <w:r>
        <w:rPr>
          <w:rFonts w:hint="eastAsia" w:ascii="仿宋_GB2312" w:eastAsia="仿宋_GB2312" w:cs="仿宋_GB2312"/>
          <w:sz w:val="32"/>
          <w:szCs w:val="32"/>
        </w:rPr>
        <w:t>）和静县财政局、和静县财政局（会计核算中心）。</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2</w:t>
      </w:r>
      <w:r>
        <w:rPr>
          <w:rFonts w:hint="eastAsia" w:ascii="仿宋_GB2312" w:eastAsia="仿宋_GB2312" w:cs="仿宋_GB2312"/>
          <w:sz w:val="32"/>
          <w:szCs w:val="32"/>
        </w:rPr>
        <w:t>）和静县乡镇财政管理局下设</w:t>
      </w:r>
      <w:r>
        <w:rPr>
          <w:rFonts w:ascii="仿宋_GB2312" w:eastAsia="仿宋_GB2312" w:cs="仿宋_GB2312"/>
          <w:sz w:val="32"/>
          <w:szCs w:val="32"/>
        </w:rPr>
        <w:t xml:space="preserve"> 2 </w:t>
      </w:r>
      <w:r>
        <w:rPr>
          <w:rFonts w:hint="eastAsia" w:ascii="仿宋_GB2312" w:eastAsia="仿宋_GB2312" w:cs="仿宋_GB2312"/>
          <w:sz w:val="32"/>
          <w:szCs w:val="32"/>
        </w:rPr>
        <w:t>个科室，分别是资金支付管理股、农村综合改革办公室。</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财政部门编制数</w:t>
      </w:r>
      <w:r>
        <w:rPr>
          <w:rFonts w:ascii="仿宋_GB2312" w:eastAsia="仿宋_GB2312" w:cs="仿宋_GB2312"/>
          <w:sz w:val="32"/>
          <w:szCs w:val="32"/>
        </w:rPr>
        <w:t xml:space="preserve"> 68</w:t>
      </w:r>
      <w:r>
        <w:rPr>
          <w:rFonts w:hint="eastAsia" w:ascii="仿宋_GB2312" w:eastAsia="仿宋_GB2312" w:cs="仿宋_GB2312"/>
          <w:sz w:val="32"/>
          <w:szCs w:val="32"/>
        </w:rPr>
        <w:t>，实有人数</w:t>
      </w:r>
      <w:r>
        <w:rPr>
          <w:rFonts w:ascii="仿宋_GB2312" w:eastAsia="仿宋_GB2312" w:cs="仿宋_GB2312"/>
          <w:sz w:val="32"/>
          <w:szCs w:val="32"/>
        </w:rPr>
        <w:t xml:space="preserve"> 62 </w:t>
      </w:r>
      <w:r>
        <w:rPr>
          <w:rFonts w:hint="eastAsia" w:ascii="仿宋_GB2312" w:eastAsia="仿宋_GB2312" w:cs="仿宋_GB2312"/>
          <w:sz w:val="32"/>
          <w:szCs w:val="32"/>
        </w:rPr>
        <w:t>人，其中：在职</w:t>
      </w:r>
      <w:r>
        <w:rPr>
          <w:rFonts w:ascii="仿宋_GB2312" w:eastAsia="仿宋_GB2312" w:cs="仿宋_GB2312"/>
          <w:sz w:val="32"/>
          <w:szCs w:val="32"/>
        </w:rPr>
        <w:t xml:space="preserve"> 62 </w:t>
      </w:r>
      <w:r>
        <w:rPr>
          <w:rFonts w:hint="eastAsia" w:ascii="仿宋_GB2312" w:eastAsia="仿宋_GB2312" w:cs="仿宋_GB2312"/>
          <w:sz w:val="32"/>
          <w:szCs w:val="32"/>
        </w:rPr>
        <w:t>人，退休</w:t>
      </w:r>
      <w:r>
        <w:rPr>
          <w:rFonts w:ascii="仿宋_GB2312" w:eastAsia="仿宋_GB2312" w:cs="仿宋_GB2312"/>
          <w:sz w:val="32"/>
          <w:szCs w:val="32"/>
        </w:rPr>
        <w:t xml:space="preserve"> 35 </w:t>
      </w:r>
      <w:r>
        <w:rPr>
          <w:rFonts w:hint="eastAsia" w:ascii="仿宋_GB2312" w:eastAsia="仿宋_GB2312" w:cs="仿宋_GB2312"/>
          <w:sz w:val="32"/>
          <w:szCs w:val="32"/>
        </w:rPr>
        <w:t>人。</w:t>
      </w:r>
    </w:p>
    <w:p>
      <w:pPr>
        <w:ind w:firstLine="624" w:firstLineChars="200"/>
        <w:rPr>
          <w:rFonts w:ascii="仿宋_GB2312" w:eastAsia="仿宋_GB2312"/>
          <w:spacing w:val="-4"/>
          <w:sz w:val="32"/>
          <w:szCs w:val="32"/>
        </w:rPr>
      </w:pP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（二）项目预算绩效目标设定情况</w:t>
      </w:r>
    </w:p>
    <w:p>
      <w:pPr>
        <w:spacing w:line="360" w:lineRule="auto"/>
        <w:ind w:firstLine="567"/>
        <w:rPr>
          <w:rStyle w:val="18"/>
          <w:rFonts w:ascii="楷体" w:hAnsi="楷体" w:eastAsia="楷体"/>
          <w:b w:val="0"/>
          <w:bCs w:val="0"/>
          <w:spacing w:val="-4"/>
          <w:sz w:val="32"/>
          <w:szCs w:val="32"/>
        </w:rPr>
      </w:pPr>
      <w:r>
        <w:rPr>
          <w:rFonts w:hint="eastAsia" w:ascii="仿宋_GB2312" w:eastAsia="仿宋_GB2312"/>
          <w:spacing w:val="-4"/>
          <w:sz w:val="32"/>
          <w:szCs w:val="32"/>
        </w:rPr>
        <w:t>根据巴财企文件执行。关于拨付区属关闭破产改制企业2018年离退休人员三项费用的通知,</w:t>
      </w:r>
      <w:r>
        <w:rPr>
          <w:rFonts w:hint="eastAsia" w:ascii="仿宋_GB2312" w:eastAsia="仿宋_GB2312" w:cs="仿宋_GB2312"/>
          <w:spacing w:val="-4"/>
          <w:sz w:val="32"/>
          <w:szCs w:val="32"/>
        </w:rPr>
        <w:t>为妥善解决和刚破产改制企业退休</w:t>
      </w:r>
      <w:r>
        <w:rPr>
          <w:rStyle w:val="18"/>
          <w:rFonts w:hint="eastAsia" w:ascii="楷体_GB2312" w:hAnsi="楷体" w:eastAsia="楷体_GB2312" w:cs="楷体_GB2312"/>
          <w:b w:val="0"/>
          <w:bCs w:val="0"/>
          <w:spacing w:val="-4"/>
          <w:sz w:val="32"/>
          <w:szCs w:val="32"/>
        </w:rPr>
        <w:t>职工医疗费，纳入财政预算，</w:t>
      </w:r>
      <w:r>
        <w:rPr>
          <w:rStyle w:val="18"/>
          <w:rFonts w:ascii="楷体" w:hAnsi="楷体" w:eastAsia="楷体"/>
          <w:b w:val="0"/>
          <w:bCs w:val="0"/>
          <w:spacing w:val="-4"/>
          <w:sz w:val="32"/>
          <w:szCs w:val="32"/>
        </w:rPr>
        <w:t>2018</w:t>
      </w:r>
      <w:r>
        <w:rPr>
          <w:rStyle w:val="18"/>
          <w:rFonts w:hint="eastAsia" w:ascii="楷体" w:hAnsi="楷体" w:eastAsia="楷体"/>
          <w:b w:val="0"/>
          <w:bCs w:val="0"/>
          <w:spacing w:val="-4"/>
          <w:sz w:val="32"/>
          <w:szCs w:val="32"/>
        </w:rPr>
        <w:t>年从上级财政拨款资金中，解决自治区区属国有破产、改制企业离退休职工医保费，活动经费、取暖费。</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该项目从上级财政拨款资金预算资金中拨付507.5万元。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按月拨付给巴仑台镇服务中心用于职工三项费用，全年共计拨付507.5万元。</w:t>
      </w:r>
    </w:p>
    <w:p>
      <w:pPr>
        <w:numPr>
          <w:ilvl w:val="0"/>
          <w:numId w:val="1"/>
        </w:num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项目资金管理情况分析</w:t>
      </w:r>
    </w:p>
    <w:p>
      <w:pPr>
        <w:spacing w:line="360" w:lineRule="auto"/>
        <w:rPr>
          <w:rStyle w:val="18"/>
          <w:rFonts w:ascii="仿宋_GB2312" w:hAnsi="仿宋" w:eastAsia="仿宋_GB2312"/>
          <w:b w:val="0"/>
          <w:bCs w:val="0"/>
          <w:spacing w:val="-4"/>
          <w:sz w:val="32"/>
          <w:szCs w:val="32"/>
        </w:rPr>
      </w:pPr>
      <w:r>
        <w:rPr>
          <w:rStyle w:val="18"/>
          <w:rFonts w:ascii="仿宋_GB2312" w:hAnsi="仿宋" w:eastAsia="仿宋_GB2312" w:cs="仿宋_GB2312"/>
          <w:b w:val="0"/>
          <w:bCs w:val="0"/>
          <w:spacing w:val="-4"/>
          <w:sz w:val="32"/>
          <w:szCs w:val="32"/>
        </w:rPr>
        <w:t>1</w:t>
      </w:r>
      <w:r>
        <w:rPr>
          <w:rStyle w:val="18"/>
          <w:rFonts w:hint="eastAsia" w:ascii="仿宋_GB2312" w:hAnsi="仿宋" w:eastAsia="仿宋_GB2312" w:cs="仿宋_GB2312"/>
          <w:b w:val="0"/>
          <w:bCs w:val="0"/>
          <w:spacing w:val="-4"/>
          <w:sz w:val="32"/>
          <w:szCs w:val="32"/>
        </w:rPr>
        <w:t>、实行专款专用，不得以任何理由按部门切块或挪作它用。</w:t>
      </w:r>
    </w:p>
    <w:p>
      <w:pPr>
        <w:spacing w:line="360" w:lineRule="auto"/>
        <w:ind w:firstLine="624" w:firstLineChars="200"/>
        <w:rPr>
          <w:rStyle w:val="18"/>
          <w:rFonts w:ascii="仿宋_GB2312" w:hAnsi="仿宋" w:eastAsia="仿宋_GB2312"/>
          <w:b w:val="0"/>
          <w:bCs w:val="0"/>
          <w:spacing w:val="-4"/>
          <w:sz w:val="32"/>
          <w:szCs w:val="32"/>
        </w:rPr>
      </w:pPr>
      <w:r>
        <w:rPr>
          <w:rStyle w:val="18"/>
          <w:rFonts w:ascii="仿宋_GB2312" w:hAnsi="仿宋" w:eastAsia="仿宋_GB2312" w:cs="仿宋_GB2312"/>
          <w:b w:val="0"/>
          <w:bCs w:val="0"/>
          <w:spacing w:val="-4"/>
          <w:sz w:val="32"/>
          <w:szCs w:val="32"/>
        </w:rPr>
        <w:t>2</w:t>
      </w:r>
      <w:r>
        <w:rPr>
          <w:rStyle w:val="18"/>
          <w:rFonts w:hint="eastAsia" w:ascii="仿宋_GB2312" w:hAnsi="仿宋" w:eastAsia="仿宋_GB2312" w:cs="仿宋_GB2312"/>
          <w:b w:val="0"/>
          <w:bCs w:val="0"/>
          <w:spacing w:val="-4"/>
          <w:sz w:val="32"/>
          <w:szCs w:val="32"/>
        </w:rPr>
        <w:t>、严格执行财务制度，各级领导及部门财务支出严格按制度办事。</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360" w:lineRule="auto"/>
        <w:ind w:firstLine="624" w:firstLineChars="200"/>
        <w:rPr>
          <w:rStyle w:val="18"/>
          <w:rFonts w:ascii="仿宋" w:hAnsi="仿宋" w:eastAsia="仿宋"/>
          <w:b w:val="0"/>
          <w:spacing w:val="-4"/>
          <w:sz w:val="32"/>
          <w:szCs w:val="32"/>
        </w:rPr>
      </w:pPr>
      <w:r>
        <w:rPr>
          <w:rStyle w:val="18"/>
          <w:rFonts w:hint="eastAsia" w:ascii="仿宋_GB2312" w:hAnsi="仿宋" w:eastAsia="仿宋_GB2312" w:cs="仿宋_GB2312"/>
          <w:b w:val="0"/>
          <w:bCs w:val="0"/>
          <w:spacing w:val="-4"/>
          <w:sz w:val="32"/>
          <w:szCs w:val="32"/>
        </w:rPr>
        <w:t>按月将职工医保费直接支付到和钢社会保险管理局为职工交纳医保费，</w:t>
      </w:r>
      <w:r>
        <w:rPr>
          <w:rStyle w:val="18"/>
          <w:rFonts w:hint="eastAsia" w:ascii="楷体" w:hAnsi="楷体" w:eastAsia="楷体"/>
          <w:b w:val="0"/>
          <w:bCs w:val="0"/>
          <w:spacing w:val="-4"/>
          <w:sz w:val="32"/>
          <w:szCs w:val="32"/>
        </w:rPr>
        <w:t>拨付区属关闭破产改制企业2018年离退休人员三项费用，</w:t>
      </w:r>
      <w:r>
        <w:rPr>
          <w:rStyle w:val="18"/>
          <w:rFonts w:hint="eastAsia" w:ascii="仿宋" w:hAnsi="仿宋" w:eastAsia="仿宋"/>
          <w:b w:val="0"/>
          <w:spacing w:val="-4"/>
          <w:sz w:val="32"/>
          <w:szCs w:val="32"/>
        </w:rPr>
        <w:t>支付完毕。</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360" w:lineRule="auto"/>
        <w:ind w:firstLine="624" w:firstLineChars="200"/>
        <w:rPr>
          <w:rStyle w:val="18"/>
          <w:rFonts w:ascii="仿宋" w:hAnsi="仿宋" w:eastAsia="仿宋"/>
          <w:b w:val="0"/>
          <w:bCs w:val="0"/>
          <w:spacing w:val="-4"/>
          <w:sz w:val="32"/>
          <w:szCs w:val="32"/>
        </w:rPr>
      </w:pPr>
      <w:r>
        <w:rPr>
          <w:rStyle w:val="18"/>
          <w:rFonts w:hint="eastAsia" w:ascii="仿宋_GB2312" w:hAnsi="仿宋" w:eastAsia="仿宋_GB2312" w:cs="仿宋_GB2312"/>
          <w:b w:val="0"/>
          <w:bCs w:val="0"/>
          <w:spacing w:val="-4"/>
          <w:sz w:val="32"/>
          <w:szCs w:val="32"/>
        </w:rPr>
        <w:t>该项目资金支付由社保局出具医疗保险缴费计划单，由国资委审核无误后，通过国库集中支付中心支付单位承担部分的医疗保险费及三项费用。</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720" w:firstLineChars="231"/>
        <w:rPr>
          <w:rStyle w:val="18"/>
          <w:rFonts w:ascii="仿宋" w:hAnsi="仿宋" w:eastAsia="仿宋"/>
          <w:b w:val="0"/>
          <w:spacing w:val="-4"/>
          <w:sz w:val="32"/>
          <w:szCs w:val="32"/>
        </w:rPr>
      </w:pPr>
      <w:r>
        <w:rPr>
          <w:rStyle w:val="18"/>
          <w:rFonts w:hint="eastAsia" w:ascii="仿宋" w:hAnsi="仿宋" w:eastAsia="仿宋"/>
          <w:b w:val="0"/>
          <w:spacing w:val="-4"/>
          <w:sz w:val="32"/>
          <w:szCs w:val="32"/>
        </w:rPr>
        <w:t>项目完成率</w:t>
      </w:r>
      <w:r>
        <w:rPr>
          <w:rStyle w:val="18"/>
          <w:rFonts w:ascii="仿宋" w:hAnsi="仿宋" w:eastAsia="仿宋"/>
          <w:b w:val="0"/>
          <w:spacing w:val="-4"/>
          <w:sz w:val="32"/>
          <w:szCs w:val="32"/>
        </w:rPr>
        <w:t>100%</w:t>
      </w:r>
      <w:r>
        <w:rPr>
          <w:rStyle w:val="18"/>
          <w:rFonts w:hint="eastAsia" w:ascii="仿宋" w:hAnsi="仿宋" w:eastAsia="仿宋"/>
          <w:b w:val="0"/>
          <w:spacing w:val="-4"/>
          <w:sz w:val="32"/>
          <w:szCs w:val="32"/>
        </w:rPr>
        <w:t>。</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360" w:lineRule="auto"/>
        <w:ind w:firstLine="640" w:firstLineChars="200"/>
        <w:rPr>
          <w:rFonts w:ascii="仿宋_GB2312" w:hAnsi="宋体" w:eastAsia="仿宋_GB2312"/>
          <w:sz w:val="32"/>
          <w:szCs w:val="32"/>
        </w:rPr>
      </w:pPr>
      <w:r>
        <w:rPr>
          <w:rFonts w:hint="eastAsia" w:ascii="仿宋_GB2312" w:hAnsi="宋体" w:eastAsia="仿宋_GB2312"/>
          <w:sz w:val="32"/>
          <w:szCs w:val="32"/>
        </w:rPr>
        <w:t>项目资金实行专款专用，单独核算，统一资金管理，加强资金审计监督，建立健全项目会计核算制度，对项目资金实行全过程的财务管理与监督，规范项目的业绩考评和追踪问效，使项目资金合理、有效使用。</w:t>
      </w:r>
      <w:r>
        <w:rPr>
          <w:rFonts w:hint="eastAsia" w:ascii="楷体" w:hAnsi="楷体" w:eastAsia="楷体"/>
          <w:bCs/>
          <w:spacing w:val="-4"/>
          <w:sz w:val="32"/>
          <w:szCs w:val="32"/>
        </w:rPr>
        <w:t>做</w:t>
      </w:r>
      <w:r>
        <w:rPr>
          <w:rFonts w:hint="eastAsia" w:ascii="仿宋_GB2312" w:hAnsi="宋体" w:eastAsia="仿宋_GB2312"/>
          <w:sz w:val="32"/>
          <w:szCs w:val="32"/>
        </w:rPr>
        <w:t>好区属关闭破产改制企业离退休人员职工的后续支出。</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360" w:lineRule="auto"/>
        <w:ind w:firstLine="564" w:firstLineChars="181"/>
        <w:rPr>
          <w:rFonts w:ascii="仿宋_GB2312" w:eastAsia="仿宋_GB2312" w:cs="仿宋_GB2312"/>
          <w:spacing w:val="-4"/>
          <w:sz w:val="32"/>
          <w:szCs w:val="32"/>
        </w:rPr>
      </w:pPr>
      <w:r>
        <w:rPr>
          <w:rFonts w:hint="eastAsia" w:ascii="仿宋_GB2312" w:eastAsia="仿宋_GB2312" w:cs="仿宋_GB2312"/>
          <w:spacing w:val="-4"/>
          <w:sz w:val="32"/>
          <w:szCs w:val="32"/>
        </w:rPr>
        <w:t>我单位绩效目标设立不够明确、细化和量化。加强人员培训。同时，综合利用填报的数据和相关资料，提升报表和相关数据的利用度。并可在财政平台安装相关的系统，实行财政平台直报，以便于数据准确一致和增强保密度，加强预算绩效培训，提高绩效工作质量。</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360" w:lineRule="auto"/>
        <w:ind w:firstLine="564" w:firstLineChars="181"/>
        <w:rPr>
          <w:rFonts w:ascii="仿宋_GB2312" w:hAnsi="楷体" w:eastAsia="仿宋_GB2312"/>
          <w:b/>
          <w:bCs/>
          <w:spacing w:val="-4"/>
          <w:sz w:val="32"/>
          <w:szCs w:val="32"/>
        </w:rPr>
      </w:pPr>
      <w:r>
        <w:rPr>
          <w:rFonts w:ascii="仿宋_GB2312" w:hAnsi="楷体" w:eastAsia="仿宋_GB2312" w:cs="仿宋_GB2312"/>
          <w:spacing w:val="-4"/>
          <w:sz w:val="32"/>
          <w:szCs w:val="32"/>
        </w:rPr>
        <w:t>2018</w:t>
      </w:r>
      <w:r>
        <w:rPr>
          <w:rFonts w:hint="eastAsia" w:ascii="仿宋_GB2312" w:hAnsi="楷体" w:eastAsia="仿宋_GB2312" w:cs="仿宋_GB2312"/>
          <w:spacing w:val="-4"/>
          <w:sz w:val="32"/>
          <w:szCs w:val="32"/>
        </w:rPr>
        <w:t>年我单位按照预算绩效管理有关规定，对照绩效目标，把绩效自评工作列入重要议事日程，认真对我单位今年预算执行过程及资金使用进行及时的自评，我单位不断健全制度，责任到人，提高支出执行及时性、均衡性和有效性。同时，我单位在自行监督的基础上，加强沟通、协调和联系，认真做好整改，认真填报本单位整体支出绩效自评情况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spacing w:line="360" w:lineRule="auto"/>
        <w:ind w:firstLine="640"/>
        <w:rPr>
          <w:rFonts w:ascii="仿宋_GB2312" w:eastAsia="仿宋_GB2312" w:cs="仿宋_GB2312"/>
          <w:spacing w:val="-4"/>
          <w:sz w:val="32"/>
          <w:szCs w:val="32"/>
        </w:rPr>
      </w:pPr>
      <w:r>
        <w:rPr>
          <w:rFonts w:hint="eastAsia" w:ascii="仿宋_GB2312" w:eastAsia="仿宋_GB2312" w:cs="仿宋_GB2312"/>
          <w:spacing w:val="-4"/>
          <w:sz w:val="32"/>
          <w:szCs w:val="32"/>
        </w:rPr>
        <w:t>项目的实施妥善解决了破产企业职工医疗保险无保障的困难，使退休职工家庭医疗支出减少生活水平得到提高。</w:t>
      </w:r>
    </w:p>
    <w:p>
      <w:pPr>
        <w:spacing w:line="56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60" w:lineRule="exact"/>
        <w:ind w:firstLine="643" w:firstLineChars="200"/>
        <w:rPr>
          <w:rFonts w:ascii="仿宋_GB2312" w:hAnsi="宋体" w:eastAsia="仿宋_GB2312" w:cs="宋体"/>
          <w:b/>
          <w:kern w:val="0"/>
          <w:sz w:val="32"/>
          <w:szCs w:val="32"/>
        </w:rPr>
      </w:pPr>
      <w:r>
        <w:rPr>
          <w:rFonts w:hint="eastAsia" w:ascii="仿宋_GB2312" w:hAnsi="宋体" w:eastAsia="仿宋_GB2312" w:cs="宋体"/>
          <w:b/>
          <w:kern w:val="0"/>
          <w:sz w:val="32"/>
          <w:szCs w:val="32"/>
        </w:rPr>
        <w:t>《和静县财政局财政项目支出绩效自评表》</w:t>
      </w:r>
    </w:p>
    <w:p>
      <w:pPr>
        <w:spacing w:line="540" w:lineRule="exact"/>
        <w:ind w:firstLine="640"/>
        <w:rPr>
          <w:rStyle w:val="18"/>
          <w:rFonts w:ascii="黑体" w:hAnsi="黑体" w:eastAsia="黑体"/>
          <w:b w:val="0"/>
          <w:spacing w:val="-4"/>
          <w:sz w:val="32"/>
          <w:szCs w:val="32"/>
        </w:rPr>
      </w:pPr>
    </w:p>
    <w:sectPr>
      <w:headerReference r:id="rId3" w:type="default"/>
      <w:footerReference r:id="rId4"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 w:name="STZhongsong">
    <w:altName w:val="宋体"/>
    <w:panose1 w:val="00000000000000000000"/>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1</w:t>
    </w:r>
    <w:r>
      <w:rPr>
        <w:lang w:val="zh-CN"/>
      </w:rP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86C473"/>
    <w:multiLevelType w:val="singleLevel"/>
    <w:tmpl w:val="5E86C473"/>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157E0"/>
    <w:rsid w:val="00056465"/>
    <w:rsid w:val="000E680D"/>
    <w:rsid w:val="000F7B3F"/>
    <w:rsid w:val="001065D6"/>
    <w:rsid w:val="001174AE"/>
    <w:rsid w:val="00121AE4"/>
    <w:rsid w:val="00142D3D"/>
    <w:rsid w:val="00146AAD"/>
    <w:rsid w:val="00176BB8"/>
    <w:rsid w:val="001B3A40"/>
    <w:rsid w:val="001F484D"/>
    <w:rsid w:val="00256F5A"/>
    <w:rsid w:val="002574E5"/>
    <w:rsid w:val="00284340"/>
    <w:rsid w:val="002859A3"/>
    <w:rsid w:val="002A2305"/>
    <w:rsid w:val="002E590A"/>
    <w:rsid w:val="00333F58"/>
    <w:rsid w:val="00357455"/>
    <w:rsid w:val="003908B7"/>
    <w:rsid w:val="00397208"/>
    <w:rsid w:val="003A729A"/>
    <w:rsid w:val="004366A8"/>
    <w:rsid w:val="00461D4C"/>
    <w:rsid w:val="00492D15"/>
    <w:rsid w:val="00502BA7"/>
    <w:rsid w:val="005162F1"/>
    <w:rsid w:val="00535153"/>
    <w:rsid w:val="00545CF0"/>
    <w:rsid w:val="005477AD"/>
    <w:rsid w:val="00554F82"/>
    <w:rsid w:val="00557407"/>
    <w:rsid w:val="0056390D"/>
    <w:rsid w:val="00564636"/>
    <w:rsid w:val="005719B0"/>
    <w:rsid w:val="00581375"/>
    <w:rsid w:val="00582E0C"/>
    <w:rsid w:val="005C666E"/>
    <w:rsid w:val="005D10D6"/>
    <w:rsid w:val="005E2527"/>
    <w:rsid w:val="0069633C"/>
    <w:rsid w:val="006E6BB4"/>
    <w:rsid w:val="00743B81"/>
    <w:rsid w:val="007443F7"/>
    <w:rsid w:val="0076275A"/>
    <w:rsid w:val="00794B84"/>
    <w:rsid w:val="0080786E"/>
    <w:rsid w:val="00821DEF"/>
    <w:rsid w:val="00855E3A"/>
    <w:rsid w:val="00860306"/>
    <w:rsid w:val="008A5B4E"/>
    <w:rsid w:val="008D72B4"/>
    <w:rsid w:val="00922CB9"/>
    <w:rsid w:val="0092573B"/>
    <w:rsid w:val="009564B6"/>
    <w:rsid w:val="009D6E01"/>
    <w:rsid w:val="009E5CD9"/>
    <w:rsid w:val="00A26421"/>
    <w:rsid w:val="00A4293B"/>
    <w:rsid w:val="00A67D50"/>
    <w:rsid w:val="00A72602"/>
    <w:rsid w:val="00A8691A"/>
    <w:rsid w:val="00AC1946"/>
    <w:rsid w:val="00B34D5D"/>
    <w:rsid w:val="00B40063"/>
    <w:rsid w:val="00B41F61"/>
    <w:rsid w:val="00B6355B"/>
    <w:rsid w:val="00BA46E6"/>
    <w:rsid w:val="00C56C72"/>
    <w:rsid w:val="00C677E8"/>
    <w:rsid w:val="00CA0751"/>
    <w:rsid w:val="00CA3695"/>
    <w:rsid w:val="00CA6457"/>
    <w:rsid w:val="00CE3FFB"/>
    <w:rsid w:val="00CE6B1A"/>
    <w:rsid w:val="00D16AF4"/>
    <w:rsid w:val="00D17F2E"/>
    <w:rsid w:val="00D27F8B"/>
    <w:rsid w:val="00D30354"/>
    <w:rsid w:val="00D65949"/>
    <w:rsid w:val="00D926BD"/>
    <w:rsid w:val="00DB1E6E"/>
    <w:rsid w:val="00DB3047"/>
    <w:rsid w:val="00DE3D97"/>
    <w:rsid w:val="00DF42A0"/>
    <w:rsid w:val="00E00D00"/>
    <w:rsid w:val="00E1079C"/>
    <w:rsid w:val="00E65D23"/>
    <w:rsid w:val="00E769FE"/>
    <w:rsid w:val="00EA2CBE"/>
    <w:rsid w:val="00EA392C"/>
    <w:rsid w:val="00EB469C"/>
    <w:rsid w:val="00F32FEE"/>
    <w:rsid w:val="00FB10BB"/>
    <w:rsid w:val="16C977BA"/>
    <w:rsid w:val="38F20AD3"/>
    <w:rsid w:val="42390C72"/>
    <w:rsid w:val="48793A0B"/>
    <w:rsid w:val="48C338AC"/>
    <w:rsid w:val="57E30BEE"/>
    <w:rsid w:val="7C840AD6"/>
    <w:rsid w:val="7D8F6C2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1"/>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2"/>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3"/>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4"/>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5"/>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6"/>
    <w:qFormat/>
    <w:uiPriority w:val="99"/>
    <w:pPr>
      <w:widowControl/>
      <w:spacing w:before="240" w:after="60"/>
      <w:jc w:val="left"/>
      <w:outlineLvl w:val="6"/>
    </w:pPr>
    <w:rPr>
      <w:rFonts w:ascii="Calibri" w:hAnsi="Calibri"/>
      <w:kern w:val="0"/>
      <w:sz w:val="24"/>
    </w:rPr>
  </w:style>
  <w:style w:type="paragraph" w:styleId="9">
    <w:name w:val="heading 8"/>
    <w:basedOn w:val="1"/>
    <w:next w:val="1"/>
    <w:link w:val="27"/>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8"/>
    <w:qFormat/>
    <w:uiPriority w:val="99"/>
    <w:pPr>
      <w:widowControl/>
      <w:spacing w:before="240" w:after="60"/>
      <w:jc w:val="left"/>
      <w:outlineLvl w:val="8"/>
    </w:pPr>
    <w:rPr>
      <w:rFonts w:ascii="Cambria" w:hAnsi="Cambr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qFormat/>
    <w:uiPriority w:val="99"/>
    <w:rPr>
      <w:sz w:val="18"/>
      <w:szCs w:val="18"/>
    </w:rPr>
  </w:style>
  <w:style w:type="paragraph" w:styleId="12">
    <w:name w:val="footer"/>
    <w:basedOn w:val="1"/>
    <w:link w:val="44"/>
    <w:uiPriority w:val="99"/>
    <w:pPr>
      <w:tabs>
        <w:tab w:val="center" w:pos="4153"/>
        <w:tab w:val="right" w:pos="8306"/>
      </w:tabs>
      <w:snapToGrid w:val="0"/>
      <w:jc w:val="left"/>
    </w:pPr>
    <w:rPr>
      <w:rFonts w:ascii="Calibri" w:hAnsi="Calibri"/>
      <w:sz w:val="18"/>
      <w:szCs w:val="18"/>
    </w:rPr>
  </w:style>
  <w:style w:type="paragraph" w:styleId="13">
    <w:name w:val="header"/>
    <w:basedOn w:val="1"/>
    <w:link w:val="43"/>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99"/>
    <w:pPr>
      <w:widowControl/>
      <w:spacing w:after="60"/>
      <w:jc w:val="center"/>
      <w:outlineLvl w:val="1"/>
    </w:pPr>
    <w:rPr>
      <w:rFonts w:ascii="Cambria" w:hAnsi="Cambria"/>
      <w:kern w:val="0"/>
      <w:sz w:val="24"/>
    </w:rPr>
  </w:style>
  <w:style w:type="paragraph" w:styleId="15">
    <w:name w:val="Title"/>
    <w:basedOn w:val="1"/>
    <w:next w:val="1"/>
    <w:link w:val="29"/>
    <w:qFormat/>
    <w:uiPriority w:val="99"/>
    <w:pPr>
      <w:widowControl/>
      <w:spacing w:before="240" w:after="60"/>
      <w:jc w:val="center"/>
      <w:outlineLvl w:val="0"/>
    </w:pPr>
    <w:rPr>
      <w:rFonts w:ascii="Cambria" w:hAnsi="Cambria"/>
      <w:b/>
      <w:bCs/>
      <w:kern w:val="28"/>
      <w:sz w:val="32"/>
      <w:szCs w:val="32"/>
    </w:rPr>
  </w:style>
  <w:style w:type="character" w:styleId="18">
    <w:name w:val="Strong"/>
    <w:qFormat/>
    <w:uiPriority w:val="99"/>
    <w:rPr>
      <w:rFonts w:cs="Times New Roman"/>
      <w:b/>
      <w:bCs/>
    </w:rPr>
  </w:style>
  <w:style w:type="character" w:styleId="19">
    <w:name w:val="Emphasis"/>
    <w:qFormat/>
    <w:uiPriority w:val="99"/>
    <w:rPr>
      <w:rFonts w:ascii="Calibri" w:hAnsi="Calibri" w:cs="Times New Roman"/>
      <w:b/>
      <w:i/>
      <w:iCs/>
    </w:rPr>
  </w:style>
  <w:style w:type="character" w:customStyle="1" w:styleId="20">
    <w:name w:val="标题 1 字符"/>
    <w:link w:val="2"/>
    <w:qFormat/>
    <w:locked/>
    <w:uiPriority w:val="99"/>
    <w:rPr>
      <w:rFonts w:ascii="Cambria" w:hAnsi="Cambria" w:eastAsia="宋体" w:cs="Times New Roman"/>
      <w:b/>
      <w:bCs/>
      <w:kern w:val="32"/>
      <w:sz w:val="32"/>
      <w:szCs w:val="32"/>
    </w:rPr>
  </w:style>
  <w:style w:type="character" w:customStyle="1" w:styleId="21">
    <w:name w:val="标题 2 字符"/>
    <w:link w:val="3"/>
    <w:semiHidden/>
    <w:qFormat/>
    <w:locked/>
    <w:uiPriority w:val="99"/>
    <w:rPr>
      <w:rFonts w:ascii="Cambria" w:hAnsi="Cambria" w:eastAsia="宋体" w:cs="Times New Roman"/>
      <w:b/>
      <w:bCs/>
      <w:i/>
      <w:iCs/>
      <w:sz w:val="28"/>
      <w:szCs w:val="28"/>
    </w:rPr>
  </w:style>
  <w:style w:type="character" w:customStyle="1" w:styleId="22">
    <w:name w:val="标题 3 字符"/>
    <w:link w:val="4"/>
    <w:semiHidden/>
    <w:locked/>
    <w:uiPriority w:val="99"/>
    <w:rPr>
      <w:rFonts w:ascii="Cambria" w:hAnsi="Cambria" w:eastAsia="宋体" w:cs="Times New Roman"/>
      <w:b/>
      <w:bCs/>
      <w:sz w:val="26"/>
      <w:szCs w:val="26"/>
    </w:rPr>
  </w:style>
  <w:style w:type="character" w:customStyle="1" w:styleId="23">
    <w:name w:val="标题 4 字符"/>
    <w:link w:val="5"/>
    <w:semiHidden/>
    <w:locked/>
    <w:uiPriority w:val="99"/>
    <w:rPr>
      <w:rFonts w:cs="Times New Roman"/>
      <w:b/>
      <w:bCs/>
      <w:sz w:val="28"/>
      <w:szCs w:val="28"/>
    </w:rPr>
  </w:style>
  <w:style w:type="character" w:customStyle="1" w:styleId="24">
    <w:name w:val="标题 5 字符"/>
    <w:link w:val="6"/>
    <w:semiHidden/>
    <w:locked/>
    <w:uiPriority w:val="99"/>
    <w:rPr>
      <w:rFonts w:cs="Times New Roman"/>
      <w:b/>
      <w:bCs/>
      <w:i/>
      <w:iCs/>
      <w:sz w:val="26"/>
      <w:szCs w:val="26"/>
    </w:rPr>
  </w:style>
  <w:style w:type="character" w:customStyle="1" w:styleId="25">
    <w:name w:val="标题 6 字符"/>
    <w:link w:val="7"/>
    <w:semiHidden/>
    <w:locked/>
    <w:uiPriority w:val="99"/>
    <w:rPr>
      <w:rFonts w:cs="Times New Roman"/>
      <w:b/>
      <w:bCs/>
    </w:rPr>
  </w:style>
  <w:style w:type="character" w:customStyle="1" w:styleId="26">
    <w:name w:val="标题 7 字符"/>
    <w:link w:val="8"/>
    <w:semiHidden/>
    <w:locked/>
    <w:uiPriority w:val="99"/>
    <w:rPr>
      <w:rFonts w:cs="Times New Roman"/>
      <w:sz w:val="24"/>
      <w:szCs w:val="24"/>
    </w:rPr>
  </w:style>
  <w:style w:type="character" w:customStyle="1" w:styleId="27">
    <w:name w:val="标题 8 字符"/>
    <w:link w:val="9"/>
    <w:semiHidden/>
    <w:locked/>
    <w:uiPriority w:val="99"/>
    <w:rPr>
      <w:rFonts w:cs="Times New Roman"/>
      <w:i/>
      <w:iCs/>
      <w:sz w:val="24"/>
      <w:szCs w:val="24"/>
    </w:rPr>
  </w:style>
  <w:style w:type="character" w:customStyle="1" w:styleId="28">
    <w:name w:val="标题 9 字符"/>
    <w:link w:val="10"/>
    <w:semiHidden/>
    <w:locked/>
    <w:uiPriority w:val="99"/>
    <w:rPr>
      <w:rFonts w:ascii="Cambria" w:hAnsi="Cambria" w:eastAsia="宋体" w:cs="Times New Roman"/>
    </w:rPr>
  </w:style>
  <w:style w:type="character" w:customStyle="1" w:styleId="29">
    <w:name w:val="标题 字符"/>
    <w:link w:val="15"/>
    <w:locked/>
    <w:uiPriority w:val="99"/>
    <w:rPr>
      <w:rFonts w:ascii="Cambria" w:hAnsi="Cambria" w:eastAsia="宋体" w:cs="Times New Roman"/>
      <w:b/>
      <w:bCs/>
      <w:kern w:val="28"/>
      <w:sz w:val="32"/>
      <w:szCs w:val="32"/>
    </w:rPr>
  </w:style>
  <w:style w:type="character" w:customStyle="1" w:styleId="30">
    <w:name w:val="副标题 字符"/>
    <w:link w:val="14"/>
    <w:locked/>
    <w:uiPriority w:val="99"/>
    <w:rPr>
      <w:rFonts w:ascii="Cambria" w:hAnsi="Cambria" w:eastAsia="宋体" w:cs="Times New Roman"/>
      <w:sz w:val="24"/>
      <w:szCs w:val="24"/>
    </w:rPr>
  </w:style>
  <w:style w:type="paragraph" w:customStyle="1" w:styleId="31">
    <w:name w:val="无间隔1"/>
    <w:basedOn w:val="1"/>
    <w:qFormat/>
    <w:uiPriority w:val="99"/>
    <w:pPr>
      <w:widowControl/>
      <w:jc w:val="left"/>
    </w:pPr>
    <w:rPr>
      <w:rFonts w:ascii="Calibri" w:hAnsi="Calibri"/>
      <w:kern w:val="0"/>
      <w:sz w:val="24"/>
      <w:szCs w:val="32"/>
      <w:lang w:eastAsia="en-US"/>
    </w:rPr>
  </w:style>
  <w:style w:type="paragraph" w:customStyle="1" w:styleId="32">
    <w:name w:val="列出段落1"/>
    <w:basedOn w:val="1"/>
    <w:qFormat/>
    <w:uiPriority w:val="99"/>
    <w:pPr>
      <w:widowControl/>
      <w:ind w:left="720"/>
      <w:contextualSpacing/>
      <w:jc w:val="left"/>
    </w:pPr>
    <w:rPr>
      <w:rFonts w:ascii="Calibri" w:hAnsi="Calibri"/>
      <w:kern w:val="0"/>
      <w:sz w:val="24"/>
      <w:lang w:eastAsia="en-US"/>
    </w:rPr>
  </w:style>
  <w:style w:type="paragraph" w:customStyle="1" w:styleId="33">
    <w:name w:val="引用1"/>
    <w:basedOn w:val="1"/>
    <w:next w:val="1"/>
    <w:link w:val="34"/>
    <w:qFormat/>
    <w:uiPriority w:val="99"/>
    <w:pPr>
      <w:widowControl/>
      <w:jc w:val="left"/>
    </w:pPr>
    <w:rPr>
      <w:rFonts w:ascii="Calibri" w:hAnsi="Calibri"/>
      <w:i/>
      <w:kern w:val="0"/>
      <w:sz w:val="24"/>
    </w:rPr>
  </w:style>
  <w:style w:type="character" w:customStyle="1" w:styleId="34">
    <w:name w:val="引用 Char"/>
    <w:link w:val="33"/>
    <w:locked/>
    <w:uiPriority w:val="99"/>
    <w:rPr>
      <w:rFonts w:cs="Times New Roman"/>
      <w:i/>
      <w:sz w:val="24"/>
      <w:szCs w:val="24"/>
    </w:rPr>
  </w:style>
  <w:style w:type="paragraph" w:customStyle="1" w:styleId="35">
    <w:name w:val="明显引用1"/>
    <w:basedOn w:val="1"/>
    <w:next w:val="1"/>
    <w:link w:val="36"/>
    <w:qFormat/>
    <w:uiPriority w:val="99"/>
    <w:pPr>
      <w:widowControl/>
      <w:ind w:left="720" w:right="720"/>
      <w:jc w:val="left"/>
    </w:pPr>
    <w:rPr>
      <w:rFonts w:ascii="Calibri" w:hAnsi="Calibri"/>
      <w:b/>
      <w:i/>
      <w:kern w:val="0"/>
      <w:sz w:val="24"/>
      <w:szCs w:val="22"/>
    </w:rPr>
  </w:style>
  <w:style w:type="character" w:customStyle="1" w:styleId="36">
    <w:name w:val="明显引用 Char"/>
    <w:link w:val="35"/>
    <w:locked/>
    <w:uiPriority w:val="99"/>
    <w:rPr>
      <w:rFonts w:cs="Times New Roman"/>
      <w:b/>
      <w:i/>
      <w:sz w:val="24"/>
    </w:rPr>
  </w:style>
  <w:style w:type="character" w:customStyle="1" w:styleId="37">
    <w:name w:val="不明显强调1"/>
    <w:qFormat/>
    <w:uiPriority w:val="99"/>
    <w:rPr>
      <w:rFonts w:cs="Times New Roman"/>
      <w:i/>
      <w:color w:val="5A5A5A"/>
    </w:rPr>
  </w:style>
  <w:style w:type="character" w:customStyle="1" w:styleId="38">
    <w:name w:val="明显强调1"/>
    <w:qFormat/>
    <w:uiPriority w:val="99"/>
    <w:rPr>
      <w:rFonts w:cs="Times New Roman"/>
      <w:b/>
      <w:i/>
      <w:sz w:val="24"/>
      <w:szCs w:val="24"/>
      <w:u w:val="single"/>
    </w:rPr>
  </w:style>
  <w:style w:type="character" w:customStyle="1" w:styleId="39">
    <w:name w:val="不明显参考1"/>
    <w:qFormat/>
    <w:uiPriority w:val="99"/>
    <w:rPr>
      <w:rFonts w:cs="Times New Roman"/>
      <w:sz w:val="24"/>
      <w:szCs w:val="24"/>
      <w:u w:val="single"/>
    </w:rPr>
  </w:style>
  <w:style w:type="character" w:customStyle="1" w:styleId="40">
    <w:name w:val="明显参考1"/>
    <w:qFormat/>
    <w:uiPriority w:val="99"/>
    <w:rPr>
      <w:rFonts w:cs="Times New Roman"/>
      <w:b/>
      <w:sz w:val="24"/>
      <w:u w:val="single"/>
    </w:rPr>
  </w:style>
  <w:style w:type="character" w:customStyle="1" w:styleId="41">
    <w:name w:val="书籍标题1"/>
    <w:qFormat/>
    <w:uiPriority w:val="99"/>
    <w:rPr>
      <w:rFonts w:ascii="Cambria" w:hAnsi="Cambria" w:eastAsia="宋体" w:cs="Times New Roman"/>
      <w:b/>
      <w:i/>
      <w:sz w:val="24"/>
      <w:szCs w:val="24"/>
    </w:rPr>
  </w:style>
  <w:style w:type="paragraph" w:customStyle="1" w:styleId="42">
    <w:name w:val="TOC 标题1"/>
    <w:basedOn w:val="2"/>
    <w:next w:val="1"/>
    <w:qFormat/>
    <w:uiPriority w:val="99"/>
    <w:pPr>
      <w:outlineLvl w:val="9"/>
    </w:pPr>
    <w:rPr>
      <w:lang w:eastAsia="en-US"/>
    </w:rPr>
  </w:style>
  <w:style w:type="character" w:customStyle="1" w:styleId="43">
    <w:name w:val="页眉 字符"/>
    <w:link w:val="13"/>
    <w:locked/>
    <w:uiPriority w:val="99"/>
    <w:rPr>
      <w:rFonts w:ascii="Calibri" w:hAnsi="Calibri" w:eastAsia="宋体" w:cs="Times New Roman"/>
      <w:kern w:val="2"/>
      <w:sz w:val="18"/>
      <w:szCs w:val="18"/>
    </w:rPr>
  </w:style>
  <w:style w:type="character" w:customStyle="1" w:styleId="44">
    <w:name w:val="页脚 字符"/>
    <w:link w:val="12"/>
    <w:locked/>
    <w:uiPriority w:val="99"/>
    <w:rPr>
      <w:rFonts w:ascii="Calibri" w:hAnsi="Calibri" w:eastAsia="宋体" w:cs="Times New Roman"/>
      <w:kern w:val="2"/>
      <w:sz w:val="18"/>
      <w:szCs w:val="18"/>
    </w:rPr>
  </w:style>
  <w:style w:type="character" w:customStyle="1" w:styleId="45">
    <w:name w:val="批注框文本 字符"/>
    <w:link w:val="11"/>
    <w:semiHidden/>
    <w:locked/>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9BAD39-FA84-4164-A493-E8CF7DFA1106}">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326</Words>
  <Characters>1863</Characters>
  <Lines>15</Lines>
  <Paragraphs>4</Paragraphs>
  <TotalTime>8</TotalTime>
  <ScaleCrop>false</ScaleCrop>
  <LinksUpToDate>false</LinksUpToDate>
  <CharactersWithSpaces>2185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2021-05-29T11:29:10Z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