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spacing w:line="560" w:lineRule="exact"/>
        <w:jc w:val="center"/>
        <w:rPr>
          <w:rFonts w:hint="eastAsia" w:ascii="方正小标宋_GBK" w:hAnsi="宋体" w:eastAsia="方正小标宋_GBK"/>
          <w:sz w:val="44"/>
          <w:szCs w:val="4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2018年度新疆巴音郭楞蒙古自治州</w:t>
      </w:r>
      <w:r>
        <w:rPr>
          <w:rFonts w:hint="eastAsia" w:ascii="方正小标宋_GBK" w:hAnsi="宋体" w:eastAsia="方正小标宋_GBK"/>
          <w:sz w:val="44"/>
          <w:szCs w:val="44"/>
          <w:lang w:val="en-US" w:eastAsia="zh-CN"/>
        </w:rPr>
        <w:t>中共静县委员会机构编制委员会办公室</w:t>
      </w:r>
      <w:r>
        <w:rPr>
          <w:rFonts w:hint="eastAsia" w:ascii="方正小标宋_GBK" w:hAnsi="宋体" w:eastAsia="方正小标宋_GBK"/>
          <w:sz w:val="44"/>
          <w:szCs w:val="44"/>
        </w:rPr>
        <w:t>部门</w:t>
      </w:r>
      <w:r>
        <w:rPr>
          <w:rFonts w:hint="eastAsia" w:ascii="方正小标宋_GBK" w:hAnsi="宋体" w:eastAsia="方正小标宋_GBK"/>
          <w:sz w:val="44"/>
          <w:szCs w:val="44"/>
          <w:lang w:val="en-US" w:eastAsia="zh-CN"/>
        </w:rPr>
        <w:t>决算</w:t>
      </w:r>
      <w:r>
        <w:rPr>
          <w:rFonts w:hint="eastAsia" w:ascii="方正小标宋_GBK" w:hAnsi="宋体" w:eastAsia="方正小标宋_GBK"/>
          <w:sz w:val="44"/>
          <w:szCs w:val="44"/>
        </w:rPr>
        <w:t>公开说明</w:t>
      </w:r>
    </w:p>
    <w:p>
      <w:pPr>
        <w:spacing w:line="560" w:lineRule="exact"/>
        <w:rPr>
          <w:rFonts w:ascii="仿宋_GB2312" w:hAnsi="宋体" w:eastAsia="仿宋_GB2312"/>
          <w:sz w:val="32"/>
          <w:szCs w:val="32"/>
        </w:rPr>
      </w:pPr>
    </w:p>
    <w:p>
      <w:pPr>
        <w:spacing w:line="560" w:lineRule="exact"/>
        <w:jc w:val="center"/>
        <w:rPr>
          <w:rFonts w:hint="eastAsia" w:ascii="黑体" w:hAnsi="黑体" w:eastAsia="黑体"/>
          <w:bCs/>
          <w:kern w:val="0"/>
          <w:sz w:val="32"/>
          <w:szCs w:val="32"/>
        </w:rPr>
      </w:pPr>
    </w:p>
    <w:p>
      <w:pPr>
        <w:spacing w:line="560" w:lineRule="exact"/>
        <w:jc w:val="center"/>
        <w:rPr>
          <w:rFonts w:hint="eastAsia" w:ascii="黑体" w:hAnsi="黑体" w:eastAsia="黑体"/>
          <w:bCs/>
          <w:kern w:val="0"/>
          <w:sz w:val="32"/>
          <w:szCs w:val="32"/>
        </w:rPr>
      </w:pPr>
    </w:p>
    <w:p>
      <w:pPr>
        <w:spacing w:line="560" w:lineRule="exact"/>
        <w:jc w:val="center"/>
        <w:rPr>
          <w:rFonts w:hint="eastAsia" w:ascii="黑体" w:hAnsi="黑体" w:eastAsia="黑体"/>
          <w:bCs/>
          <w:kern w:val="0"/>
          <w:sz w:val="32"/>
          <w:szCs w:val="32"/>
        </w:rPr>
      </w:pPr>
    </w:p>
    <w:p>
      <w:pPr>
        <w:spacing w:line="560" w:lineRule="exact"/>
        <w:jc w:val="center"/>
        <w:rPr>
          <w:rFonts w:hint="eastAsia" w:ascii="黑体" w:hAnsi="黑体" w:eastAsia="黑体"/>
          <w:bCs/>
          <w:kern w:val="0"/>
          <w:sz w:val="32"/>
          <w:szCs w:val="32"/>
        </w:rPr>
      </w:pPr>
    </w:p>
    <w:p>
      <w:pPr>
        <w:spacing w:line="560" w:lineRule="exact"/>
        <w:jc w:val="center"/>
        <w:rPr>
          <w:rFonts w:hint="eastAsia" w:ascii="黑体" w:hAnsi="黑体" w:eastAsia="黑体"/>
          <w:bCs/>
          <w:kern w:val="0"/>
          <w:sz w:val="32"/>
          <w:szCs w:val="32"/>
        </w:rPr>
      </w:pPr>
    </w:p>
    <w:p>
      <w:pPr>
        <w:spacing w:line="560" w:lineRule="exact"/>
        <w:jc w:val="center"/>
        <w:rPr>
          <w:rFonts w:hint="eastAsia" w:ascii="黑体" w:hAnsi="黑体" w:eastAsia="黑体"/>
          <w:bCs/>
          <w:kern w:val="0"/>
          <w:sz w:val="32"/>
          <w:szCs w:val="32"/>
        </w:rPr>
      </w:pPr>
    </w:p>
    <w:p>
      <w:pPr>
        <w:spacing w:line="560" w:lineRule="exact"/>
        <w:jc w:val="both"/>
        <w:rPr>
          <w:rFonts w:hint="eastAsia" w:ascii="黑体" w:hAnsi="黑体" w:eastAsia="黑体"/>
          <w:bCs/>
          <w:kern w:val="0"/>
          <w:sz w:val="32"/>
          <w:szCs w:val="32"/>
        </w:rPr>
      </w:pPr>
    </w:p>
    <w:p>
      <w:pPr>
        <w:spacing w:line="560" w:lineRule="exact"/>
        <w:jc w:val="both"/>
        <w:rPr>
          <w:rFonts w:hint="eastAsia" w:ascii="黑体" w:hAnsi="黑体" w:eastAsia="黑体"/>
          <w:bCs/>
          <w:kern w:val="0"/>
          <w:sz w:val="32"/>
          <w:szCs w:val="32"/>
        </w:rPr>
      </w:pPr>
    </w:p>
    <w:p>
      <w:pPr>
        <w:spacing w:line="560" w:lineRule="exact"/>
        <w:jc w:val="both"/>
        <w:rPr>
          <w:rFonts w:hint="eastAsia" w:ascii="黑体" w:hAnsi="黑体" w:eastAsia="黑体"/>
          <w:bCs/>
          <w:kern w:val="0"/>
          <w:sz w:val="32"/>
          <w:szCs w:val="32"/>
        </w:rPr>
      </w:pPr>
    </w:p>
    <w:p>
      <w:pPr>
        <w:spacing w:line="560" w:lineRule="exact"/>
        <w:jc w:val="both"/>
        <w:rPr>
          <w:rFonts w:hint="eastAsia" w:ascii="黑体" w:hAnsi="黑体" w:eastAsia="黑体"/>
          <w:bCs/>
          <w:kern w:val="0"/>
          <w:sz w:val="32"/>
          <w:szCs w:val="32"/>
        </w:rPr>
      </w:pPr>
    </w:p>
    <w:p>
      <w:pPr>
        <w:spacing w:line="560" w:lineRule="exact"/>
        <w:jc w:val="both"/>
        <w:rPr>
          <w:rFonts w:hint="eastAsia" w:ascii="黑体" w:hAnsi="黑体" w:eastAsia="黑体"/>
          <w:bCs/>
          <w:kern w:val="0"/>
          <w:sz w:val="32"/>
          <w:szCs w:val="32"/>
        </w:rPr>
      </w:pPr>
    </w:p>
    <w:p>
      <w:pPr>
        <w:spacing w:line="56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60" w:lineRule="exact"/>
        <w:rPr>
          <w:rFonts w:ascii="仿宋_GB2312" w:hAnsi="宋体" w:eastAsia="仿宋_GB2312"/>
          <w:b/>
          <w:kern w:val="0"/>
          <w:sz w:val="32"/>
          <w:szCs w:val="32"/>
        </w:rPr>
      </w:pP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6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60" w:lineRule="exact"/>
        <w:ind w:firstLine="640" w:firstLineChars="200"/>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统一管理和静县行政事业单位的机构编制，研究拟定和静县机构改革的总体方案并组织实施；审核和静县行政机关的“三定”规定（方案）；审核和静县事业单位的机构设置、人员编制、领导职数和经费形式，审批事业单位内设机构设置和科级领导职数；负责实施和静县事业单位登记管理工作及其他工作。</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从决算单位构成看，新疆巴音郭楞蒙古自治州</w:t>
      </w:r>
      <w:r>
        <w:rPr>
          <w:rFonts w:hint="eastAsia" w:ascii="仿宋_GB2312" w:eastAsia="仿宋_GB2312"/>
          <w:sz w:val="32"/>
          <w:szCs w:val="32"/>
          <w:lang w:val="en-US" w:eastAsia="zh-CN"/>
        </w:rPr>
        <w:t>中共</w:t>
      </w:r>
      <w:r>
        <w:rPr>
          <w:rFonts w:hint="eastAsia" w:ascii="仿宋_GB2312" w:eastAsia="仿宋_GB2312"/>
          <w:sz w:val="32"/>
          <w:szCs w:val="32"/>
        </w:rPr>
        <w:t>和静县</w:t>
      </w:r>
      <w:r>
        <w:rPr>
          <w:rFonts w:hint="eastAsia" w:ascii="仿宋_GB2312" w:eastAsia="仿宋_GB2312"/>
          <w:sz w:val="32"/>
          <w:szCs w:val="32"/>
          <w:lang w:val="en-US" w:eastAsia="zh-CN"/>
        </w:rPr>
        <w:t>委员会机构编制委员会办公室</w:t>
      </w:r>
      <w:r>
        <w:rPr>
          <w:rFonts w:hint="eastAsia" w:ascii="仿宋_GB2312" w:eastAsia="仿宋_GB2312"/>
          <w:sz w:val="32"/>
          <w:szCs w:val="32"/>
        </w:rPr>
        <w:t>部门决算包括：新疆巴音郭楞蒙古自治州</w:t>
      </w:r>
      <w:r>
        <w:rPr>
          <w:rFonts w:hint="eastAsia" w:ascii="仿宋_GB2312" w:eastAsia="仿宋_GB2312"/>
          <w:sz w:val="32"/>
          <w:szCs w:val="32"/>
          <w:lang w:val="en-US" w:eastAsia="zh-CN"/>
        </w:rPr>
        <w:t>中共</w:t>
      </w:r>
      <w:r>
        <w:rPr>
          <w:rFonts w:hint="eastAsia" w:ascii="仿宋_GB2312" w:eastAsia="仿宋_GB2312"/>
          <w:sz w:val="32"/>
          <w:szCs w:val="32"/>
        </w:rPr>
        <w:t>和静县</w:t>
      </w:r>
      <w:r>
        <w:rPr>
          <w:rFonts w:hint="eastAsia" w:ascii="仿宋_GB2312" w:eastAsia="仿宋_GB2312"/>
          <w:sz w:val="32"/>
          <w:szCs w:val="32"/>
          <w:lang w:val="en-US" w:eastAsia="zh-CN"/>
        </w:rPr>
        <w:t>委员会机构编制委员会办公室</w:t>
      </w:r>
      <w:r>
        <w:rPr>
          <w:rFonts w:hint="eastAsia" w:ascii="仿宋_GB2312" w:eastAsia="仿宋_GB2312"/>
          <w:sz w:val="32"/>
          <w:szCs w:val="32"/>
        </w:rPr>
        <w:t>本级决算、所属单位决算等。</w:t>
      </w:r>
    </w:p>
    <w:p>
      <w:pPr>
        <w:spacing w:line="560" w:lineRule="exact"/>
        <w:ind w:firstLine="640" w:firstLineChars="200"/>
        <w:rPr>
          <w:rFonts w:ascii="仿宋_GB2312" w:eastAsia="仿宋_GB2312"/>
          <w:spacing w:val="-6"/>
          <w:sz w:val="32"/>
          <w:szCs w:val="32"/>
        </w:rPr>
      </w:pPr>
      <w:r>
        <w:rPr>
          <w:rFonts w:hint="eastAsia" w:ascii="仿宋_GB2312" w:eastAsia="仿宋_GB2312"/>
          <w:sz w:val="32"/>
          <w:szCs w:val="32"/>
        </w:rPr>
        <w:t>纳入新疆巴音郭楞蒙古自治州</w:t>
      </w:r>
      <w:r>
        <w:rPr>
          <w:rFonts w:hint="eastAsia" w:ascii="仿宋_GB2312" w:eastAsia="仿宋_GB2312"/>
          <w:sz w:val="32"/>
          <w:szCs w:val="32"/>
          <w:lang w:val="en-US" w:eastAsia="zh-CN"/>
        </w:rPr>
        <w:t>中共</w:t>
      </w:r>
      <w:r>
        <w:rPr>
          <w:rFonts w:hint="eastAsia" w:ascii="仿宋_GB2312" w:eastAsia="仿宋_GB2312"/>
          <w:sz w:val="32"/>
          <w:szCs w:val="32"/>
        </w:rPr>
        <w:t>和静县</w:t>
      </w:r>
      <w:r>
        <w:rPr>
          <w:rFonts w:hint="eastAsia" w:ascii="仿宋_GB2312" w:eastAsia="仿宋_GB2312"/>
          <w:sz w:val="32"/>
          <w:szCs w:val="32"/>
          <w:lang w:val="en-US" w:eastAsia="zh-CN"/>
        </w:rPr>
        <w:t>委员会机构编制委员会办公室2018</w:t>
      </w:r>
      <w:r>
        <w:rPr>
          <w:rFonts w:hint="eastAsia" w:ascii="仿宋_GB2312" w:eastAsia="仿宋_GB2312"/>
          <w:sz w:val="32"/>
          <w:szCs w:val="32"/>
        </w:rPr>
        <w:t>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7470"/>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8" w:hRule="exact"/>
        </w:trPr>
        <w:tc>
          <w:tcPr>
            <w:tcW w:w="991"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序号</w:t>
            </w:r>
          </w:p>
        </w:tc>
        <w:tc>
          <w:tcPr>
            <w:tcW w:w="7470"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单位名称</w:t>
            </w:r>
          </w:p>
        </w:tc>
        <w:tc>
          <w:tcPr>
            <w:tcW w:w="1003"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exact"/>
        </w:trPr>
        <w:tc>
          <w:tcPr>
            <w:tcW w:w="991" w:type="dxa"/>
            <w:vAlign w:val="center"/>
          </w:tcPr>
          <w:p>
            <w:pPr>
              <w:spacing w:line="500" w:lineRule="exact"/>
              <w:ind w:firstLine="320" w:firstLineChars="100"/>
              <w:rPr>
                <w:rFonts w:ascii="仿宋_GB2312" w:eastAsia="仿宋_GB2312"/>
                <w:sz w:val="32"/>
                <w:szCs w:val="32"/>
              </w:rPr>
            </w:pPr>
            <w:r>
              <w:rPr>
                <w:rFonts w:hint="eastAsia" w:ascii="仿宋_GB2312" w:eastAsia="仿宋_GB2312"/>
                <w:sz w:val="32"/>
                <w:szCs w:val="32"/>
              </w:rPr>
              <w:t>1</w:t>
            </w:r>
          </w:p>
        </w:tc>
        <w:tc>
          <w:tcPr>
            <w:tcW w:w="7470" w:type="dxa"/>
            <w:vAlign w:val="center"/>
          </w:tcPr>
          <w:p>
            <w:pPr>
              <w:spacing w:line="500" w:lineRule="exact"/>
              <w:rPr>
                <w:rFonts w:ascii="仿宋_GB2312" w:eastAsia="仿宋_GB2312"/>
                <w:sz w:val="32"/>
                <w:szCs w:val="32"/>
              </w:rPr>
            </w:pPr>
            <w:r>
              <w:rPr>
                <w:rFonts w:hint="eastAsia" w:ascii="仿宋_GB2312" w:eastAsia="仿宋_GB2312"/>
                <w:sz w:val="32"/>
                <w:szCs w:val="32"/>
              </w:rPr>
              <w:t>新疆巴音郭楞蒙古自治州</w:t>
            </w:r>
            <w:r>
              <w:rPr>
                <w:rFonts w:hint="eastAsia" w:ascii="仿宋_GB2312" w:eastAsia="仿宋_GB2312"/>
                <w:sz w:val="32"/>
                <w:szCs w:val="32"/>
                <w:lang w:val="en-US" w:eastAsia="zh-CN"/>
              </w:rPr>
              <w:t>中共</w:t>
            </w:r>
            <w:r>
              <w:rPr>
                <w:rFonts w:hint="eastAsia" w:ascii="仿宋_GB2312" w:eastAsia="仿宋_GB2312"/>
                <w:sz w:val="32"/>
                <w:szCs w:val="32"/>
              </w:rPr>
              <w:t>和静县</w:t>
            </w:r>
            <w:r>
              <w:rPr>
                <w:rFonts w:hint="eastAsia" w:ascii="仿宋_GB2312" w:eastAsia="仿宋_GB2312"/>
                <w:sz w:val="32"/>
                <w:szCs w:val="32"/>
                <w:lang w:val="en-US" w:eastAsia="zh-CN"/>
              </w:rPr>
              <w:t>委员会机构编制委员会办公室</w:t>
            </w:r>
          </w:p>
        </w:tc>
        <w:tc>
          <w:tcPr>
            <w:tcW w:w="1003" w:type="dxa"/>
            <w:vAlign w:val="center"/>
          </w:tcPr>
          <w:p>
            <w:pPr>
              <w:spacing w:line="500" w:lineRule="exact"/>
              <w:ind w:firstLine="640" w:firstLineChars="200"/>
              <w:rPr>
                <w:rFonts w:ascii="仿宋_GB2312" w:eastAsia="仿宋_GB2312"/>
                <w:sz w:val="32"/>
                <w:szCs w:val="32"/>
              </w:rPr>
            </w:pPr>
          </w:p>
        </w:tc>
      </w:tr>
    </w:tbl>
    <w:p>
      <w:pPr>
        <w:keepNext w:val="0"/>
        <w:keepLines w:val="0"/>
        <w:pageBreakBefore w:val="0"/>
        <w:widowControl w:val="0"/>
        <w:kinsoku/>
        <w:wordWrap/>
        <w:overflowPunct/>
        <w:topLinePunct w:val="0"/>
        <w:bidi w:val="0"/>
        <w:adjustRightInd/>
        <w:snapToGrid/>
        <w:spacing w:line="600" w:lineRule="exact"/>
        <w:jc w:val="both"/>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adjustRightInd/>
        <w:snapToGrid/>
        <w:spacing w:line="600" w:lineRule="exact"/>
        <w:ind w:firstLine="640" w:firstLineChars="200"/>
        <w:jc w:val="center"/>
        <w:textAlignment w:val="auto"/>
        <w:outlineLvl w:val="9"/>
        <w:rPr>
          <w:rFonts w:ascii="黑体" w:hAnsi="黑体" w:eastAsia="黑体"/>
          <w:sz w:val="32"/>
          <w:szCs w:val="32"/>
        </w:rPr>
      </w:pPr>
      <w:r>
        <w:rPr>
          <w:rFonts w:hint="eastAsia" w:ascii="黑体" w:hAnsi="黑体" w:eastAsia="黑体"/>
          <w:sz w:val="32"/>
          <w:szCs w:val="32"/>
        </w:rPr>
        <w:t>第二部分 部门决算情况说明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一、部门收支总体情况</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val="en-GB" w:eastAsia="zh-CN"/>
        </w:rPr>
      </w:pPr>
      <w:r>
        <w:rPr>
          <w:rFonts w:hint="eastAsia" w:ascii="仿宋_GB2312" w:eastAsia="仿宋_GB2312"/>
          <w:sz w:val="32"/>
          <w:szCs w:val="32"/>
          <w:lang w:eastAsia="zh-CN"/>
        </w:rPr>
        <w:t>2018年度收入124.34万元</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与上年相比，增加9.19万元，增长7.98%。增减变化的主要原因是：工资调增；支出124.34万元</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与上年相比，增加9.19万元，增长7.98%。增减变化的主要原因是：工资调增；结余0万元，与上年相比，减少0万元，降低0%。增减变化主要原因是：我单位本年度无结余。</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本年收入合计124.34万元，其中：财政拨款收入124.34万元，占100</w:t>
      </w:r>
      <w:r>
        <w:rPr>
          <w:rFonts w:hint="eastAsia" w:ascii="仿宋_GB2312" w:eastAsia="仿宋_GB2312"/>
          <w:sz w:val="32"/>
          <w:szCs w:val="32"/>
          <w:lang w:val="en-US" w:eastAsia="zh-CN"/>
        </w:rPr>
        <w:t>.00</w:t>
      </w:r>
      <w:r>
        <w:rPr>
          <w:rFonts w:hint="eastAsia" w:ascii="仿宋_GB2312" w:eastAsia="仿宋_GB2312"/>
          <w:sz w:val="32"/>
          <w:szCs w:val="32"/>
          <w:lang w:eastAsia="zh-CN"/>
        </w:rPr>
        <w:t>%；上级补助收入0万元，占0%；事业收入0万元，占0%；经营收入0万元，占0%；附属单位缴款0万元，占0%；其他收入0万元，占0%。</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与年初预算数相比情况：本年收入年初预算数105.61万元，决算数124.34万元，预决算差异率17.74%，差异主要原因本年度工资调增。</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本年支出合计124.34万元，其中：基本支出116.20万元，占93</w:t>
      </w:r>
      <w:r>
        <w:rPr>
          <w:rFonts w:hint="eastAsia" w:ascii="仿宋_GB2312" w:eastAsia="仿宋_GB2312"/>
          <w:sz w:val="32"/>
          <w:szCs w:val="32"/>
          <w:lang w:val="en-US" w:eastAsia="zh-CN"/>
        </w:rPr>
        <w:t>.00</w:t>
      </w:r>
      <w:r>
        <w:rPr>
          <w:rFonts w:hint="eastAsia" w:ascii="仿宋_GB2312" w:eastAsia="仿宋_GB2312"/>
          <w:sz w:val="32"/>
          <w:szCs w:val="32"/>
          <w:lang w:eastAsia="zh-CN"/>
        </w:rPr>
        <w:t>%；项目支出8.13万元，占7</w:t>
      </w:r>
      <w:r>
        <w:rPr>
          <w:rFonts w:hint="eastAsia" w:ascii="仿宋_GB2312" w:eastAsia="仿宋_GB2312"/>
          <w:sz w:val="32"/>
          <w:szCs w:val="32"/>
          <w:lang w:val="en-US" w:eastAsia="zh-CN"/>
        </w:rPr>
        <w:t>.00</w:t>
      </w:r>
      <w:r>
        <w:rPr>
          <w:rFonts w:hint="eastAsia" w:ascii="仿宋_GB2312" w:eastAsia="仿宋_GB2312"/>
          <w:sz w:val="32"/>
          <w:szCs w:val="32"/>
          <w:lang w:eastAsia="zh-CN"/>
        </w:rPr>
        <w:t>%；上缴上级支出0万元，占0%；经营支出0万元，占0%；对附属单位补助支出0万元，占0%。</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与年初预算数相比情况：本年支出年初预算数105.61万元，决算数124.34万元，预决算差异率17.74%，差异主要原因本年度工资调增。</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2018年度财政拨款收入124.34万元，与上年相比，增加9.19万元，增长7.98%。增减变化的主要原因是：工资调增。财政拨款支出124.34万元，与上年相比，增加9.19万元，增长7.98%，增减变化的主要原因是：工资调增。其中：基本支出116.20万元，项目支出8.13万元。财政拨款结转结余0万元，与上年相比，减少0万元，降低0%。增减变化的主要原因是：我单位本年度无财政拨款结转结余。</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年初预算数相比情况：财政拨款收入年初预算数105.61万元，决算数124.34万元，预决算差异率17.74%，差异主要原因访惠聚工作组经费增加。财政拨款支出年初预算数105.61万元，决算数124.34万元，预决算差异率17.74%，差异主要原因工资调增，访惠聚工作组经费增加。</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（二）一般公共预算收支决算情况说明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2018年</w:t>
      </w:r>
      <w:r>
        <w:rPr>
          <w:rFonts w:hint="eastAsia" w:ascii="仿宋_GB2312" w:eastAsia="仿宋_GB2312"/>
          <w:sz w:val="32"/>
          <w:szCs w:val="32"/>
        </w:rPr>
        <w:t>度一般公共预算财政拨款收入124.34万元。与上年相比，增加9.19万元，增长7.98%。增减变化的主要原因是：工资调增。一般公共预算财政拨款支出124.34万元。与上年相比，增加9.19万元，增长7.98%。增减变化的主要原因是：工资调增。其中：</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按功能分类科目</w:t>
      </w:r>
      <w:r>
        <w:rPr>
          <w:rFonts w:hint="eastAsia" w:ascii="仿宋_GB2312" w:eastAsia="仿宋_GB2312"/>
          <w:sz w:val="32"/>
          <w:szCs w:val="32"/>
          <w:highlight w:val="none"/>
          <w:lang w:eastAsia="zh-CN"/>
        </w:rPr>
        <w:t>（</w:t>
      </w:r>
      <w:r>
        <w:rPr>
          <w:rFonts w:hint="eastAsia" w:ascii="仿宋_GB2312" w:eastAsia="仿宋_GB2312"/>
          <w:sz w:val="32"/>
          <w:szCs w:val="32"/>
        </w:rPr>
        <w:t>按类级科目公开</w:t>
      </w:r>
      <w:r>
        <w:rPr>
          <w:rFonts w:hint="eastAsia" w:ascii="仿宋_GB2312" w:eastAsia="仿宋_GB2312"/>
          <w:sz w:val="32"/>
          <w:szCs w:val="32"/>
          <w:highlight w:val="none"/>
          <w:lang w:eastAsia="zh-CN"/>
        </w:rPr>
        <w:t>）</w:t>
      </w:r>
      <w:r>
        <w:rPr>
          <w:rFonts w:hint="eastAsia" w:ascii="仿宋_GB2312" w:eastAsia="仿宋_GB2312"/>
          <w:sz w:val="32"/>
          <w:szCs w:val="32"/>
        </w:rPr>
        <w:t>，201（类）行政运行支出100.73万元，208（类）归口管理的行政单位离退休11.6</w:t>
      </w:r>
      <w:r>
        <w:rPr>
          <w:rFonts w:hint="eastAsia" w:ascii="仿宋_GB2312" w:eastAsia="仿宋_GB2312"/>
          <w:sz w:val="32"/>
          <w:szCs w:val="32"/>
          <w:lang w:val="en-US" w:eastAsia="zh-CN"/>
        </w:rPr>
        <w:t>0</w:t>
      </w:r>
      <w:r>
        <w:rPr>
          <w:rFonts w:hint="eastAsia" w:ascii="仿宋_GB2312" w:eastAsia="仿宋_GB2312"/>
          <w:sz w:val="32"/>
          <w:szCs w:val="32"/>
        </w:rPr>
        <w:t>万元，210（类）行政单位医疗5.34万元，221（类）住房公积金6.66万元。</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按经济分类科目</w:t>
      </w:r>
      <w:r>
        <w:rPr>
          <w:rFonts w:hint="eastAsia" w:ascii="仿宋_GB2312" w:eastAsia="仿宋_GB2312"/>
          <w:sz w:val="32"/>
          <w:szCs w:val="32"/>
          <w:highlight w:val="none"/>
          <w:lang w:eastAsia="zh-CN"/>
        </w:rPr>
        <w:t>（</w:t>
      </w:r>
      <w:r>
        <w:rPr>
          <w:rFonts w:hint="eastAsia" w:ascii="仿宋_GB2312" w:eastAsia="仿宋_GB2312"/>
          <w:sz w:val="32"/>
          <w:szCs w:val="32"/>
        </w:rPr>
        <w:t>按类级科目公开</w:t>
      </w:r>
      <w:r>
        <w:rPr>
          <w:rFonts w:hint="eastAsia" w:ascii="仿宋_GB2312" w:eastAsia="仿宋_GB2312"/>
          <w:sz w:val="32"/>
          <w:szCs w:val="32"/>
          <w:highlight w:val="none"/>
          <w:lang w:eastAsia="zh-CN"/>
        </w:rPr>
        <w:t>）</w:t>
      </w:r>
      <w:r>
        <w:rPr>
          <w:rFonts w:hint="eastAsia" w:ascii="仿宋_GB2312" w:eastAsia="仿宋_GB2312"/>
          <w:sz w:val="32"/>
          <w:szCs w:val="32"/>
        </w:rPr>
        <w:t>，301（类）工资福利支出108.95万元，302（类）商品和服务支出14.74万元，303（类）对个人和家庭的补助支出0.65万元。</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与年初预算数相比情况：一般公共预算财政拨款收入年初预算数为105.61万元，决算数124.34万元，预决算差异率17.74%，增减变化的主要原因是：工资调增，访惠聚工作队经费增加。一般公共预算财政拨款支出年初预算数为105.61万元，决算数124.34万元，预决算差异率17.74%，增减变化的主要原因是：工资调增，访惠聚工作组经费增加。</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（三）政府性基金预算收支决算情况说明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2018年</w:t>
      </w:r>
      <w:r>
        <w:rPr>
          <w:rFonts w:hint="eastAsia" w:ascii="仿宋_GB2312" w:eastAsia="仿宋_GB2312"/>
          <w:sz w:val="32"/>
          <w:szCs w:val="32"/>
        </w:rPr>
        <w:t>度政府性基金预算财政拨款收入0万元，与上年相比，减少0万元，降低0%。增减变化的主要原因是：我单位本年度无政府性基金预算收入。政府性基金预算支出0万元。与上年相比，减少0万元，降低0%。增减变化的主要原因是：我单位本年度无政府性基金预算支出。其中：按功能分类科目（按类级科目公开），支出0万元，支出0万元。按经济分类科目（按类级科目公开），支出0万元，支出0万元。</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无政府性基金预算收入。政府性基金预算财政拨款支出年初预算数0万元，决算数0万元，预决算差异率0%，差异主要原因我单位无政府性基金预算支出。</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三、部门结转结余情况</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年末结转结余0万元。与上年相比，减少0万元，降低0%。</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其中财政拨款结转结余0万元。与上年相比，减少0万元，降低0%。</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2018年度一般公共预算“三公”经费支出决算0万元，比上年增加0万元，增长0%，增加原因是我单位无公务用车、无因公出国（境）安排、无公务接待安排。其中，因公出国（境）费支出0万元，占0%，比上年增加0万元，增长0%，增加原因是我单位本年度无因公出国（境）费支出；公务用车购置及运行维护费支出0万元，占0%，比上年增加0万元，增长0%，增加原因是我单位无公务用车购置及运行维护费支出；公务接待费支出0万元，占0%，比上年增加0万元，增长0%，增加原因是我单位本年度无公务接待费支出。具体情况如下：</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因公出国（境）费支出0万元。新疆巴州中共和静县委员会机构编制委员会办公室单位全年使用一般公共预算财政拨款安排的出国（境）团组0个，累计0人次。开支内容包括：我单位本年度无因公出国（境）费支出。</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公务用车购置及运行维护费0万元</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其中，公务用车购置0万元，公务用车运行维护费0万元。主要用于车辆油料、保险、维修等支出。单位一般公共财政拨款安排的公务用车购置量0辆，保有量为0辆。</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公务接待费0万元。具体是：国内公务接待支出0万元，主要是我单位本年度无公务接待费支出。新疆巴州中共和静县委员会机构编制委员会办公室单位国内公务接待0批次，0人次。</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与年初预算数相比情况：一般公共预算“三公”经费支出年初预算数2.8</w:t>
      </w:r>
      <w:r>
        <w:rPr>
          <w:rFonts w:hint="eastAsia" w:ascii="仿宋_GB2312" w:eastAsia="仿宋_GB2312"/>
          <w:sz w:val="32"/>
          <w:szCs w:val="32"/>
          <w:lang w:val="en-US" w:eastAsia="zh-CN"/>
        </w:rPr>
        <w:t>0</w:t>
      </w:r>
      <w:r>
        <w:rPr>
          <w:rFonts w:hint="eastAsia" w:ascii="仿宋_GB2312" w:eastAsia="仿宋_GB2312"/>
          <w:sz w:val="32"/>
          <w:szCs w:val="32"/>
          <w:lang w:eastAsia="zh-CN"/>
        </w:rPr>
        <w:t>万元，决算数0万元，预决算差异率</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100%，差异主要原因我单位本年度无公务用车、无公务接待、无因公出国（境）支出。其中：因公出国（境）费预算数0万元，决算数0万元，预决算差异率0%，差异主要原因无因公出国（境）费支出安排；公务用车购置预算数0万元，决算数0万元，预决算差异率0%，差异主要原因我单位无购置车辆安排；公务用车运行费预算数2.72万元，决算数0万元，预决算差异率</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100%，差异主要原</w:t>
      </w:r>
      <w:bookmarkStart w:id="0" w:name="_GoBack"/>
      <w:bookmarkEnd w:id="0"/>
      <w:r>
        <w:rPr>
          <w:rFonts w:hint="eastAsia" w:ascii="仿宋_GB2312" w:eastAsia="仿宋_GB2312"/>
          <w:sz w:val="32"/>
          <w:szCs w:val="32"/>
          <w:lang w:eastAsia="zh-CN"/>
        </w:rPr>
        <w:t>因我单位本年度无公务用车费用支出；公务接待费预算数0.08万元，决算数0万元，预决算差异率</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100%，差异主要原因我单位无公务接待安排。</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五、机关运行经费支出情况</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2018年</w:t>
      </w:r>
      <w:r>
        <w:rPr>
          <w:rFonts w:hint="eastAsia" w:ascii="仿宋_GB2312" w:eastAsia="仿宋_GB2312"/>
          <w:sz w:val="32"/>
          <w:szCs w:val="32"/>
        </w:rPr>
        <w:t>度新疆巴州中共和静县委员会机构编制委员会办公室机关运行经费支出7</w:t>
      </w:r>
      <w:r>
        <w:rPr>
          <w:rFonts w:hint="eastAsia" w:ascii="仿宋_GB2312" w:eastAsia="仿宋_GB2312"/>
          <w:sz w:val="32"/>
          <w:szCs w:val="32"/>
          <w:lang w:val="en-US" w:eastAsia="zh-CN"/>
        </w:rPr>
        <w:t>.00</w:t>
      </w:r>
      <w:r>
        <w:rPr>
          <w:rFonts w:hint="eastAsia" w:ascii="仿宋_GB2312" w:eastAsia="仿宋_GB2312"/>
          <w:sz w:val="32"/>
          <w:szCs w:val="32"/>
        </w:rPr>
        <w:t>万元，比上年减少1.43万元，降低16.93%，主要原因是我单位本年度认真贯彻中央八项规定、自治区十条规定的要求，严格财务管理，压缩机关运行经费。</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六、政府采购情况</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2018年</w:t>
      </w:r>
      <w:r>
        <w:rPr>
          <w:rFonts w:hint="eastAsia" w:ascii="仿宋_GB2312" w:eastAsia="仿宋_GB2312"/>
          <w:sz w:val="32"/>
          <w:szCs w:val="32"/>
        </w:rPr>
        <w:t>度政府采购支出总额0万元，其中：政府采购货物支出0万元、政府采购工程支出0万元、政府采购服务支出0万元。</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黑体" w:hAnsi="黑体" w:eastAsia="黑体"/>
          <w:sz w:val="32"/>
          <w:szCs w:val="32"/>
        </w:rPr>
      </w:pPr>
      <w:r>
        <w:rPr>
          <w:rFonts w:hint="eastAsia" w:ascii="黑体" w:hAnsi="黑体" w:eastAsia="黑体"/>
          <w:sz w:val="32"/>
          <w:szCs w:val="32"/>
        </w:rPr>
        <w:t>七、其他重要事项的情况</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（一）国有资产占用情况说明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2018年</w:t>
      </w:r>
      <w:r>
        <w:rPr>
          <w:rFonts w:hint="eastAsia" w:ascii="仿宋_GB2312" w:eastAsia="仿宋_GB2312"/>
          <w:sz w:val="32"/>
          <w:szCs w:val="32"/>
        </w:rPr>
        <w:t>12月31日，单位共有车辆0辆，价值0万元，其中：副部（省）级及以上领导用车0辆、主要领导干部用车0辆、机要通信用车0辆、应急保障用车0辆、执法执勤用车0辆、特种专业技术用车0辆、离退休干部用车0辆、其他用车0辆，其他用车主要是：单位日常出行；单位价值50万元以上通用设备0台（套）、单位价值100万元以上专用设备0台（套）。</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outlineLvl w:val="9"/>
        <w:rPr>
          <w:rFonts w:ascii="楷体_GB2312" w:eastAsia="楷体_GB2312"/>
          <w:b/>
          <w:bCs/>
          <w:sz w:val="32"/>
          <w:szCs w:val="32"/>
        </w:rPr>
      </w:pPr>
      <w:r>
        <w:rPr>
          <w:rFonts w:hint="eastAsia" w:ascii="楷体_GB2312" w:eastAsia="楷体_GB2312"/>
          <w:b/>
          <w:bCs/>
          <w:sz w:val="32"/>
          <w:szCs w:val="32"/>
        </w:rPr>
        <w:t>（二）预算绩效情况的说明</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2018年</w:t>
      </w:r>
      <w:r>
        <w:rPr>
          <w:rFonts w:hint="eastAsia" w:ascii="仿宋_GB2312" w:eastAsia="仿宋_GB2312"/>
          <w:sz w:val="32"/>
          <w:szCs w:val="32"/>
        </w:rPr>
        <w:t>度，本部门单位预算绩效自评情况：自述有关预算绩效管理和绩效自评开展情况。</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访</w:t>
      </w:r>
      <w:r>
        <w:rPr>
          <w:rFonts w:hint="eastAsia" w:ascii="仿宋_GB2312" w:eastAsia="仿宋_GB2312"/>
          <w:sz w:val="32"/>
          <w:szCs w:val="32"/>
          <w:lang w:val="en-US" w:eastAsia="zh-CN"/>
        </w:rPr>
        <w:t>惠</w:t>
      </w:r>
      <w:r>
        <w:rPr>
          <w:rFonts w:hint="eastAsia" w:ascii="仿宋_GB2312" w:eastAsia="仿宋_GB2312"/>
          <w:sz w:val="32"/>
          <w:szCs w:val="32"/>
        </w:rPr>
        <w:t>聚为民办实事项目绩效自评综述：根据年初设定的绩效目标，访</w:t>
      </w:r>
      <w:r>
        <w:rPr>
          <w:rFonts w:hint="eastAsia" w:ascii="仿宋_GB2312" w:eastAsia="仿宋_GB2312"/>
          <w:sz w:val="32"/>
          <w:szCs w:val="32"/>
          <w:lang w:val="en-US" w:eastAsia="zh-CN"/>
        </w:rPr>
        <w:t>惠</w:t>
      </w:r>
      <w:r>
        <w:rPr>
          <w:rFonts w:hint="eastAsia" w:ascii="仿宋_GB2312" w:eastAsia="仿宋_GB2312"/>
          <w:sz w:val="32"/>
          <w:szCs w:val="32"/>
        </w:rPr>
        <w:t>聚为民办实事项目绩效自评得分为96分。项目全年预算数为8.13万元，执行数为8.13万元，完成预算的100%。</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主要产出和效果：一是更好为群众办好事；二是解决实际问题。</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发现的问题及原因：一是严格执行资金使用申请程序。首先由具体负责人员提供相关方案、人员名单和经费预算，再由分管领导和财务人员审核，上报部长办公会讨论，最后落实；二是严格执行资金使用各项标准。</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下一步改进措施：一是严格执行资金使用申请程序。首先由具体负责人员提供相关方案、文件通知、活动安排和经费预算，再由分管领导和财务人员审核，上报部长办公会讨论，最后落实；二是严格执行资金使用各项标准。</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lang w:eastAsia="zh-CN"/>
        </w:rPr>
        <w:t>后附</w:t>
      </w:r>
      <w:r>
        <w:rPr>
          <w:rFonts w:hint="eastAsia" w:ascii="仿宋_GB2312" w:eastAsia="仿宋_GB2312"/>
          <w:sz w:val="32"/>
          <w:szCs w:val="32"/>
        </w:rPr>
        <w:t>有关项目自评情况</w:t>
      </w:r>
      <w:r>
        <w:rPr>
          <w:rFonts w:hint="eastAsia" w:ascii="仿宋_GB2312" w:eastAsia="仿宋_GB2312"/>
          <w:sz w:val="32"/>
          <w:szCs w:val="32"/>
          <w:lang w:eastAsia="zh-CN"/>
        </w:rPr>
        <w:t>及</w:t>
      </w:r>
      <w:r>
        <w:rPr>
          <w:rFonts w:hint="eastAsia" w:ascii="仿宋_GB2312" w:eastAsia="仿宋_GB2312"/>
          <w:sz w:val="32"/>
          <w:szCs w:val="32"/>
        </w:rPr>
        <w:t>项目支出绩效自评表。</w:t>
      </w:r>
    </w:p>
    <w:p>
      <w:pPr>
        <w:keepNext w:val="0"/>
        <w:keepLines w:val="0"/>
        <w:pageBreakBefore w:val="0"/>
        <w:widowControl w:val="0"/>
        <w:kinsoku/>
        <w:wordWrap/>
        <w:overflowPunct/>
        <w:topLinePunct w:val="0"/>
        <w:bidi w:val="0"/>
        <w:adjustRightInd/>
        <w:snapToGrid/>
        <w:spacing w:line="600" w:lineRule="exact"/>
        <w:jc w:val="both"/>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adjustRightInd/>
        <w:snapToGrid/>
        <w:spacing w:line="600" w:lineRule="exact"/>
        <w:ind w:firstLine="640" w:firstLineChars="200"/>
        <w:jc w:val="center"/>
        <w:textAlignment w:val="auto"/>
        <w:outlineLvl w:val="9"/>
        <w:rPr>
          <w:rFonts w:ascii="黑体" w:hAnsi="黑体" w:eastAsia="黑体"/>
          <w:sz w:val="32"/>
          <w:szCs w:val="32"/>
        </w:rPr>
      </w:pPr>
      <w:r>
        <w:rPr>
          <w:rFonts w:hint="eastAsia" w:ascii="黑体" w:hAnsi="黑体" w:eastAsia="黑体"/>
          <w:sz w:val="32"/>
          <w:szCs w:val="32"/>
        </w:rPr>
        <w:t>第三部分 专业名词解释</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201（类）10（款）01（项）：指行政运行。201（类）32（款）99（项）：指行政运行。208（类）05（款）01（项）：指归口管理的行政单位离退休。208（类）05（款）05（项）：指机关事业单位基本养老保险缴费支出。210（类）11（款）01（项）：指行政单位医疗。210（类）11（款）03（项）：指公务员医疗补助。221（类）02（款）01（项）：指住房公积金。</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bidi w:val="0"/>
        <w:adjustRightInd/>
        <w:snapToGrid/>
        <w:spacing w:line="600" w:lineRule="exact"/>
        <w:ind w:firstLine="640" w:firstLineChars="200"/>
        <w:jc w:val="center"/>
        <w:textAlignment w:val="auto"/>
        <w:outlineLvl w:val="9"/>
        <w:rPr>
          <w:rFonts w:ascii="黑体" w:hAnsi="黑体" w:eastAsia="黑体"/>
          <w:sz w:val="32"/>
          <w:szCs w:val="32"/>
        </w:rPr>
      </w:pPr>
      <w:r>
        <w:rPr>
          <w:rFonts w:hint="eastAsia" w:ascii="黑体" w:hAnsi="黑体" w:eastAsia="黑体"/>
          <w:sz w:val="32"/>
          <w:szCs w:val="32"/>
        </w:rPr>
        <w:t>第四部分 部门决算公开的8张报表（见附表）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一、《收入支出决算总表》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二、《收入决算表》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三、《支出决算表》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四、《财政拨款收入支出决算总表》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五、《一般公共预算财政拨款支出决算表》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六、《一般公共预算财政拨款基本支出决算表》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七、《一般公共预算财政拨款“三公”经费支出决算表》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outlineLvl w:val="9"/>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adjustRightInd/>
        <w:snapToGrid/>
        <w:spacing w:line="600" w:lineRule="exact"/>
        <w:ind w:firstLine="420" w:firstLineChars="200"/>
        <w:textAlignment w:val="auto"/>
        <w:outlineLvl w:val="9"/>
      </w:pPr>
    </w:p>
    <w:p>
      <w:pPr>
        <w:keepNext w:val="0"/>
        <w:keepLines w:val="0"/>
        <w:pageBreakBefore w:val="0"/>
        <w:widowControl w:val="0"/>
        <w:kinsoku/>
        <w:wordWrap/>
        <w:overflowPunct/>
        <w:topLinePunct w:val="0"/>
        <w:bidi w:val="0"/>
        <w:adjustRightInd/>
        <w:snapToGrid/>
        <w:spacing w:line="600" w:lineRule="exact"/>
        <w:ind w:firstLine="640" w:firstLineChars="200"/>
        <w:jc w:val="right"/>
        <w:textAlignment w:val="auto"/>
        <w:outlineLvl w:val="9"/>
        <w:rPr>
          <w:rFonts w:ascii="仿宋_GB2312" w:hAnsi="宋体"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0906"/>
    <w:rsid w:val="00003AF0"/>
    <w:rsid w:val="000072C1"/>
    <w:rsid w:val="000133B4"/>
    <w:rsid w:val="00032587"/>
    <w:rsid w:val="00035D86"/>
    <w:rsid w:val="0004067B"/>
    <w:rsid w:val="00055D49"/>
    <w:rsid w:val="000637B1"/>
    <w:rsid w:val="00082D53"/>
    <w:rsid w:val="0008631C"/>
    <w:rsid w:val="0008712B"/>
    <w:rsid w:val="000925E9"/>
    <w:rsid w:val="00093D15"/>
    <w:rsid w:val="00095EE5"/>
    <w:rsid w:val="000B22CC"/>
    <w:rsid w:val="000C16F3"/>
    <w:rsid w:val="000C3B7A"/>
    <w:rsid w:val="000D2985"/>
    <w:rsid w:val="000F6590"/>
    <w:rsid w:val="001130EC"/>
    <w:rsid w:val="00122A6A"/>
    <w:rsid w:val="0012358F"/>
    <w:rsid w:val="00142F1D"/>
    <w:rsid w:val="00153DF5"/>
    <w:rsid w:val="00160B19"/>
    <w:rsid w:val="00161C68"/>
    <w:rsid w:val="00166EFE"/>
    <w:rsid w:val="001719A2"/>
    <w:rsid w:val="001A5B4D"/>
    <w:rsid w:val="001A7AFE"/>
    <w:rsid w:val="001D1EA6"/>
    <w:rsid w:val="001D5F3A"/>
    <w:rsid w:val="001E2ABE"/>
    <w:rsid w:val="002144E0"/>
    <w:rsid w:val="002146E7"/>
    <w:rsid w:val="002154CF"/>
    <w:rsid w:val="0021588B"/>
    <w:rsid w:val="002172A3"/>
    <w:rsid w:val="00217F35"/>
    <w:rsid w:val="00225867"/>
    <w:rsid w:val="00225EFD"/>
    <w:rsid w:val="00244FA3"/>
    <w:rsid w:val="00251212"/>
    <w:rsid w:val="00251D85"/>
    <w:rsid w:val="002577D9"/>
    <w:rsid w:val="00266818"/>
    <w:rsid w:val="00274AC3"/>
    <w:rsid w:val="00275092"/>
    <w:rsid w:val="00282D23"/>
    <w:rsid w:val="002A4F50"/>
    <w:rsid w:val="002A6CC8"/>
    <w:rsid w:val="002C4945"/>
    <w:rsid w:val="002E7703"/>
    <w:rsid w:val="002F59C1"/>
    <w:rsid w:val="00323F02"/>
    <w:rsid w:val="00326D0D"/>
    <w:rsid w:val="00333D65"/>
    <w:rsid w:val="003353E5"/>
    <w:rsid w:val="00337F87"/>
    <w:rsid w:val="00341144"/>
    <w:rsid w:val="00356412"/>
    <w:rsid w:val="00360360"/>
    <w:rsid w:val="003676C3"/>
    <w:rsid w:val="00371671"/>
    <w:rsid w:val="00373FB0"/>
    <w:rsid w:val="00395373"/>
    <w:rsid w:val="00397CC1"/>
    <w:rsid w:val="003A0D0F"/>
    <w:rsid w:val="003A4A8B"/>
    <w:rsid w:val="003A7AAF"/>
    <w:rsid w:val="003C2BD5"/>
    <w:rsid w:val="003D1E71"/>
    <w:rsid w:val="003D365B"/>
    <w:rsid w:val="003F0046"/>
    <w:rsid w:val="003F06F4"/>
    <w:rsid w:val="00405277"/>
    <w:rsid w:val="00417F90"/>
    <w:rsid w:val="0042542E"/>
    <w:rsid w:val="00445181"/>
    <w:rsid w:val="00453EF8"/>
    <w:rsid w:val="00463CDA"/>
    <w:rsid w:val="00474144"/>
    <w:rsid w:val="004845D0"/>
    <w:rsid w:val="004A1F5C"/>
    <w:rsid w:val="004A3504"/>
    <w:rsid w:val="004D2F68"/>
    <w:rsid w:val="004D4240"/>
    <w:rsid w:val="004F1169"/>
    <w:rsid w:val="004F462A"/>
    <w:rsid w:val="004F7F91"/>
    <w:rsid w:val="005015EE"/>
    <w:rsid w:val="00513F4B"/>
    <w:rsid w:val="00516AB0"/>
    <w:rsid w:val="005229BC"/>
    <w:rsid w:val="005358FC"/>
    <w:rsid w:val="005427EA"/>
    <w:rsid w:val="00543A38"/>
    <w:rsid w:val="00565EC2"/>
    <w:rsid w:val="00577F3E"/>
    <w:rsid w:val="00583005"/>
    <w:rsid w:val="00595438"/>
    <w:rsid w:val="005C7541"/>
    <w:rsid w:val="005C7A3D"/>
    <w:rsid w:val="005D296D"/>
    <w:rsid w:val="005D48FE"/>
    <w:rsid w:val="005E1092"/>
    <w:rsid w:val="005F2EC7"/>
    <w:rsid w:val="005F6476"/>
    <w:rsid w:val="006037E7"/>
    <w:rsid w:val="00615E68"/>
    <w:rsid w:val="00633343"/>
    <w:rsid w:val="0069145A"/>
    <w:rsid w:val="006A0428"/>
    <w:rsid w:val="006A6D59"/>
    <w:rsid w:val="006B2DD1"/>
    <w:rsid w:val="006B3FFC"/>
    <w:rsid w:val="006C45C6"/>
    <w:rsid w:val="006C4E1D"/>
    <w:rsid w:val="006C6167"/>
    <w:rsid w:val="006E7E49"/>
    <w:rsid w:val="006F24DD"/>
    <w:rsid w:val="006F7153"/>
    <w:rsid w:val="0071006E"/>
    <w:rsid w:val="00711478"/>
    <w:rsid w:val="0072178A"/>
    <w:rsid w:val="007318F8"/>
    <w:rsid w:val="00737EE4"/>
    <w:rsid w:val="00740B1C"/>
    <w:rsid w:val="00757E82"/>
    <w:rsid w:val="0076535D"/>
    <w:rsid w:val="00772B57"/>
    <w:rsid w:val="007A5D46"/>
    <w:rsid w:val="007C2FC8"/>
    <w:rsid w:val="007D068D"/>
    <w:rsid w:val="007D08F1"/>
    <w:rsid w:val="007D6A11"/>
    <w:rsid w:val="007D7F65"/>
    <w:rsid w:val="007E6551"/>
    <w:rsid w:val="007E7A81"/>
    <w:rsid w:val="007F4667"/>
    <w:rsid w:val="00800C6B"/>
    <w:rsid w:val="00811BF3"/>
    <w:rsid w:val="008162C8"/>
    <w:rsid w:val="008173F4"/>
    <w:rsid w:val="00830130"/>
    <w:rsid w:val="00836BCD"/>
    <w:rsid w:val="00851A32"/>
    <w:rsid w:val="008529F1"/>
    <w:rsid w:val="008B12D7"/>
    <w:rsid w:val="008C7140"/>
    <w:rsid w:val="008D17F7"/>
    <w:rsid w:val="008D6DFC"/>
    <w:rsid w:val="008E5B26"/>
    <w:rsid w:val="0090200F"/>
    <w:rsid w:val="00902185"/>
    <w:rsid w:val="00925286"/>
    <w:rsid w:val="00927110"/>
    <w:rsid w:val="00947AD1"/>
    <w:rsid w:val="00953BD2"/>
    <w:rsid w:val="00956025"/>
    <w:rsid w:val="00956C8D"/>
    <w:rsid w:val="00967D28"/>
    <w:rsid w:val="0097019D"/>
    <w:rsid w:val="00974F80"/>
    <w:rsid w:val="009805EC"/>
    <w:rsid w:val="009B7300"/>
    <w:rsid w:val="009D1015"/>
    <w:rsid w:val="009F7CA7"/>
    <w:rsid w:val="00A211DF"/>
    <w:rsid w:val="00A25DDD"/>
    <w:rsid w:val="00A40C6F"/>
    <w:rsid w:val="00A46BB0"/>
    <w:rsid w:val="00A606ED"/>
    <w:rsid w:val="00A70C4A"/>
    <w:rsid w:val="00A80CCF"/>
    <w:rsid w:val="00A9103C"/>
    <w:rsid w:val="00A96DD9"/>
    <w:rsid w:val="00AB106A"/>
    <w:rsid w:val="00AB1FF2"/>
    <w:rsid w:val="00AC7201"/>
    <w:rsid w:val="00AD2159"/>
    <w:rsid w:val="00AE1A40"/>
    <w:rsid w:val="00B06D1D"/>
    <w:rsid w:val="00B20646"/>
    <w:rsid w:val="00B24096"/>
    <w:rsid w:val="00B328DF"/>
    <w:rsid w:val="00B40B87"/>
    <w:rsid w:val="00B60BF0"/>
    <w:rsid w:val="00B653F5"/>
    <w:rsid w:val="00B8768F"/>
    <w:rsid w:val="00B94F2D"/>
    <w:rsid w:val="00BA4C1B"/>
    <w:rsid w:val="00BA750E"/>
    <w:rsid w:val="00BC477B"/>
    <w:rsid w:val="00BD0149"/>
    <w:rsid w:val="00BD1A2E"/>
    <w:rsid w:val="00BF0CFB"/>
    <w:rsid w:val="00C050DC"/>
    <w:rsid w:val="00C10EC3"/>
    <w:rsid w:val="00C1794F"/>
    <w:rsid w:val="00C41F5B"/>
    <w:rsid w:val="00C45602"/>
    <w:rsid w:val="00C80D0F"/>
    <w:rsid w:val="00C95ABB"/>
    <w:rsid w:val="00CA33D6"/>
    <w:rsid w:val="00CA44D2"/>
    <w:rsid w:val="00CA5E66"/>
    <w:rsid w:val="00CD6358"/>
    <w:rsid w:val="00CE1F3A"/>
    <w:rsid w:val="00D23A2C"/>
    <w:rsid w:val="00D311DB"/>
    <w:rsid w:val="00D41120"/>
    <w:rsid w:val="00D41507"/>
    <w:rsid w:val="00D57235"/>
    <w:rsid w:val="00D666D7"/>
    <w:rsid w:val="00D66772"/>
    <w:rsid w:val="00D67477"/>
    <w:rsid w:val="00D82371"/>
    <w:rsid w:val="00D976A6"/>
    <w:rsid w:val="00DA32E0"/>
    <w:rsid w:val="00DB0FC5"/>
    <w:rsid w:val="00DD07AB"/>
    <w:rsid w:val="00DE46B7"/>
    <w:rsid w:val="00DE7B7E"/>
    <w:rsid w:val="00DF3A89"/>
    <w:rsid w:val="00E05E64"/>
    <w:rsid w:val="00E10664"/>
    <w:rsid w:val="00E15C8A"/>
    <w:rsid w:val="00E30F83"/>
    <w:rsid w:val="00E36D1D"/>
    <w:rsid w:val="00E93843"/>
    <w:rsid w:val="00EA0075"/>
    <w:rsid w:val="00EA0CC8"/>
    <w:rsid w:val="00EA5A92"/>
    <w:rsid w:val="00EC0936"/>
    <w:rsid w:val="00EC2AFF"/>
    <w:rsid w:val="00ED7078"/>
    <w:rsid w:val="00F2514C"/>
    <w:rsid w:val="00F25E8A"/>
    <w:rsid w:val="00F30924"/>
    <w:rsid w:val="00F36A08"/>
    <w:rsid w:val="00F5709B"/>
    <w:rsid w:val="00F62EBA"/>
    <w:rsid w:val="00F74CF9"/>
    <w:rsid w:val="00F948AB"/>
    <w:rsid w:val="00FA00AC"/>
    <w:rsid w:val="00FE0906"/>
    <w:rsid w:val="00FE6757"/>
    <w:rsid w:val="00FE7D33"/>
    <w:rsid w:val="00FF6764"/>
    <w:rsid w:val="00FF7C7B"/>
    <w:rsid w:val="00FF7E9A"/>
    <w:rsid w:val="01B82D06"/>
    <w:rsid w:val="05CD7134"/>
    <w:rsid w:val="070F6EA6"/>
    <w:rsid w:val="096D6F5F"/>
    <w:rsid w:val="0B946AB6"/>
    <w:rsid w:val="0F350892"/>
    <w:rsid w:val="118D5640"/>
    <w:rsid w:val="11D20764"/>
    <w:rsid w:val="12257DE0"/>
    <w:rsid w:val="13B66421"/>
    <w:rsid w:val="16212648"/>
    <w:rsid w:val="17250F10"/>
    <w:rsid w:val="172667C5"/>
    <w:rsid w:val="179D39CA"/>
    <w:rsid w:val="19DF07C7"/>
    <w:rsid w:val="1B5F643D"/>
    <w:rsid w:val="1BA164D5"/>
    <w:rsid w:val="1D9A0B0E"/>
    <w:rsid w:val="21251487"/>
    <w:rsid w:val="23E955B0"/>
    <w:rsid w:val="26357C3C"/>
    <w:rsid w:val="27CA1735"/>
    <w:rsid w:val="2A0757EE"/>
    <w:rsid w:val="2A2479C8"/>
    <w:rsid w:val="2B0D5224"/>
    <w:rsid w:val="2C4B4C2D"/>
    <w:rsid w:val="2F012FF7"/>
    <w:rsid w:val="2F315F27"/>
    <w:rsid w:val="30EE4229"/>
    <w:rsid w:val="313A3F89"/>
    <w:rsid w:val="327305C7"/>
    <w:rsid w:val="34296B1F"/>
    <w:rsid w:val="35912030"/>
    <w:rsid w:val="38264ACA"/>
    <w:rsid w:val="39325749"/>
    <w:rsid w:val="3ADB4CFF"/>
    <w:rsid w:val="3B2F3B40"/>
    <w:rsid w:val="3E4352D4"/>
    <w:rsid w:val="452A26A4"/>
    <w:rsid w:val="47D92D4E"/>
    <w:rsid w:val="496D1A0B"/>
    <w:rsid w:val="4E242350"/>
    <w:rsid w:val="4E327053"/>
    <w:rsid w:val="4F9049A7"/>
    <w:rsid w:val="515C2323"/>
    <w:rsid w:val="56C21523"/>
    <w:rsid w:val="57D834F7"/>
    <w:rsid w:val="57EE6ECC"/>
    <w:rsid w:val="584E573A"/>
    <w:rsid w:val="5AC96E9D"/>
    <w:rsid w:val="5B150537"/>
    <w:rsid w:val="5B226F3E"/>
    <w:rsid w:val="5EA82518"/>
    <w:rsid w:val="60CF33A1"/>
    <w:rsid w:val="63217F18"/>
    <w:rsid w:val="6449123B"/>
    <w:rsid w:val="64AB5A10"/>
    <w:rsid w:val="67FA32F1"/>
    <w:rsid w:val="68770418"/>
    <w:rsid w:val="68DE22E1"/>
    <w:rsid w:val="69DB3448"/>
    <w:rsid w:val="6A6B4895"/>
    <w:rsid w:val="6CF84AD0"/>
    <w:rsid w:val="6E285E41"/>
    <w:rsid w:val="6FA22B73"/>
    <w:rsid w:val="6FBD29F8"/>
    <w:rsid w:val="714B4634"/>
    <w:rsid w:val="71F22902"/>
    <w:rsid w:val="72CA0E29"/>
    <w:rsid w:val="73355C08"/>
    <w:rsid w:val="73B11229"/>
    <w:rsid w:val="73FE1D48"/>
    <w:rsid w:val="74B56532"/>
    <w:rsid w:val="75E31784"/>
    <w:rsid w:val="7BD4576B"/>
    <w:rsid w:val="7DD1062E"/>
    <w:rsid w:val="7DD42F68"/>
    <w:rsid w:val="7EC91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841</Words>
  <Characters>4799</Characters>
  <Lines>39</Lines>
  <Paragraphs>11</Paragraphs>
  <TotalTime>1</TotalTime>
  <ScaleCrop>false</ScaleCrop>
  <LinksUpToDate>false</LinksUpToDate>
  <CharactersWithSpaces>5629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2019-10-01T09:44:00Z</dcterms:created>
  <dc:creator>GXR</dc:creator>
  <cp:lastModifiedBy>郝军震</cp:lastModifiedBy>
  <dcterms:modified xsi:type="dcterms:W3CDTF">2021-06-02T05:50:42Z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KSOSaveFontToCloudKey">
    <vt:lpwstr>571178183_btnclosed</vt:lpwstr>
  </property>
  <property fmtid="{D5CDD505-2E9C-101B-9397-08002B2CF9AE}" pid="4" name="ICV">
    <vt:lpwstr>1A30D8FEC4F14591832FC87D8C92238E</vt:lpwstr>
  </property>
</Properties>
</file>