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u w:val="none"/>
        </w:rPr>
      </w:pPr>
    </w:p>
    <w:p>
      <w:pPr>
        <w:spacing w:line="540" w:lineRule="exact"/>
        <w:jc w:val="center"/>
        <w:rPr>
          <w:rFonts w:hint="eastAsia"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新疆巴州和静县巴音布鲁克景区管理</w:t>
      </w: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委员会项目支出绩效</w:t>
      </w:r>
      <w:bookmarkStart w:id="0" w:name="_GoBack"/>
      <w:bookmarkEnd w:id="0"/>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项目名称：入股东归餐饮资金及其他</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实施单位（公章）：巴州天鹅湖旅游开发有限责任公司</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主管部门（公章）：和静县巴音布鲁克景区管理委员会</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项目负责人（签章）：朱玉梅</w:t>
      </w:r>
    </w:p>
    <w:p>
      <w:pPr>
        <w:spacing w:line="700" w:lineRule="exact"/>
        <w:jc w:val="left"/>
        <w:rPr>
          <w:rStyle w:val="18"/>
          <w:rFonts w:ascii="黑体" w:hAnsi="黑体" w:eastAsia="黑体"/>
          <w:b w:val="0"/>
          <w:spacing w:val="-4"/>
          <w:sz w:val="32"/>
          <w:szCs w:val="32"/>
        </w:rPr>
      </w:pPr>
      <w:r>
        <w:rPr>
          <w:rFonts w:hint="eastAsia" w:hAnsi="宋体" w:eastAsia="仿宋_GB2312" w:cs="宋体"/>
          <w:kern w:val="0"/>
          <w:sz w:val="36"/>
          <w:szCs w:val="36"/>
        </w:rPr>
        <w:t>填报时间：2019年1月23日</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ascii="宋体" w:hAnsi="宋体" w:cs="宋体"/>
          <w:kern w:val="0"/>
          <w:sz w:val="24"/>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根据《关于设立和静县巴音布鲁克景区管理委员会的批复》（巴党编办字〔2012〕34号）和《关于设立和静县巴音布鲁克景区管理委员会的通知》（和党编办字〔2012〕47号）文件精神，设置和静县巴音布鲁克景区管理委员会，为和静县人民政府的派出机构，机构规格正科级。下设：行政办公室、经营开发部、游客服务中心、市场管理部、环境资源管理部。机构健全，职责分明。</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xml:space="preserve">    目前巴音布鲁克景区由和静县巴音布鲁克景区管理委员会承担对景区保护、管理、规划和开发的基本职责；巴州天鹅湖旅游开发有限责任公司负责景区各经营项目的开发和经营管理等工作。景区管理机构健全，职责分明，各项规章制度健全，且贯彻得力。</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巴音布鲁克景区管理委员会为全额事业编，现有领导职数2人，一般干部3人。</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预期目标：为了促进国有企业抱团发展。</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阶段性目标：解决东归餐饮现阶段的发展问题。</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项目基本性质及用途：本项目的建设全面贯彻了国有企业抱团发展的要求，促进服务行业间的交流合作，规范了行业市场，对巴音布鲁克景区品牌打造以及对外合作创造了更加优良的拓展空间。</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主要内容：入股东归餐饮公司和支付农发行贷款利息。</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涉及范围：该项目主要涉及巴州天鹅湖旅游开发有限责任公司和和静县东归餐饮服务公司。</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入股东归餐饮资金为150万元，支付农发行利息65.55，县级财政拨款215.55万元，自筹资金0元。</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入股东归餐饮资金为150万元，支付农发行利息65.55，县级财政拨款215.55万元，已全部完成支付。</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Fonts w:hint="eastAsia" w:ascii="仿宋_GB2312" w:hAnsi="宋体" w:eastAsia="仿宋_GB2312" w:cs="宋体"/>
          <w:kern w:val="0"/>
          <w:sz w:val="32"/>
          <w:szCs w:val="32"/>
        </w:rPr>
      </w:pPr>
      <w:r>
        <w:rPr>
          <w:rStyle w:val="18"/>
          <w:rFonts w:hint="eastAsia" w:ascii="仿宋" w:hAnsi="仿宋" w:eastAsia="仿宋"/>
          <w:b w:val="0"/>
          <w:spacing w:val="-4"/>
          <w:sz w:val="32"/>
          <w:szCs w:val="32"/>
        </w:rPr>
        <w:t>为</w:t>
      </w:r>
      <w:r>
        <w:rPr>
          <w:rFonts w:hint="eastAsia" w:ascii="仿宋_GB2312" w:hAnsi="宋体" w:eastAsia="仿宋_GB2312" w:cs="宋体"/>
          <w:kern w:val="0"/>
          <w:sz w:val="32"/>
          <w:szCs w:val="32"/>
        </w:rPr>
        <w:t>切实规范项目资金管理，保障资金安全、高效运行，发挥资金使用效益，特制定项目资金管理制度。资金的拨付本着专款专用的原则，严格执行项目资金批准的使用计划和项目批复资料;资金拨付动向，按要求执行，不准任意改变;特殊状况，务必请示。严格项目资金初审、审核、审核制度，不准缺项和越程序办理手续，各类项目资金审批程序，以该项目资金审批表所列资料和文件要求为准。项目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入股东归餐饮资金为150万元，支付农发行利息65.55，县级财政拨款215.55万元，实际投入215.55元，截止2018年底，已全部拨付资金。</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依据项目进度安排，制定详实实施计划，落实项目的施工单位，进行财务监督，使项目有序展开和顺利实施。</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本项目的建设全面贯彻了国有企业抱团发展的要求，促进服务行业间的交流合作，规范了行业市场，对巴音布鲁克景区品牌打造以及对外合作创造了更加优良的拓展空间。</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hint="eastAsia"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目标已完成。</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建立健全景区的管理制度，建立强有力的组织领导机构和统一、高效、务实、科学的管理机构和运行机制，加强各国有企业间的交流、合作，保证项目的正常使用及发挥最大效益。</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依据项目进度安排，制定详细实施计划，进行财务监督，制定验收办法及相应配套措施，促进项目有序开展和顺利执行。</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严格按照项目有关程序办事。本着“责任明确，严格管理”的原则开展各项工作。项目资金集中在县级管理，保证专款专用，不挤占挪用或变相挪用。建立财务监控机制，防止财务风险。建立项目资金管理责任追究制度。杜绝基站，挪用，截留项目资金，疏于管理造成国有资产流失等行为。</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进一步加强预算资金编制合理性，充分发挥资金使用效益。项目涉及部门要通力配合，高度重视，将项目的各项工作做好，做扎实。加强资金监管，保障专项资金按照政策使用。做好项目前期政府各部门的协调工作，沟通信息，减少不必要的办事环节，提高工作效率。后续需要重点建立项目绩效目标体系，更加科学、合理的评价项目完成效益。</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无</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严格按照国有企业相关手续，完成项目的执行。</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《和静县财政项目支出绩效自评表》</w:t>
      </w:r>
    </w:p>
    <w:p>
      <w:pPr>
        <w:spacing w:line="540" w:lineRule="exact"/>
        <w:ind w:firstLine="579" w:firstLineChars="181"/>
        <w:rPr>
          <w:rFonts w:hint="eastAsia" w:ascii="仿宋_GB2312" w:hAnsi="宋体" w:eastAsia="仿宋_GB2312" w:cs="宋体"/>
          <w:kern w:val="0"/>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tbl>
      <w:tblPr>
        <w:tblStyle w:val="16"/>
        <w:tblW w:w="0" w:type="auto"/>
        <w:tblInd w:w="93" w:type="dxa"/>
        <w:tblLayout w:type="fixed"/>
        <w:tblCellMar>
          <w:top w:w="0" w:type="dxa"/>
          <w:left w:w="108" w:type="dxa"/>
          <w:bottom w:w="0" w:type="dxa"/>
          <w:right w:w="108" w:type="dxa"/>
        </w:tblCellMar>
      </w:tblPr>
      <w:tblGrid>
        <w:gridCol w:w="720"/>
        <w:gridCol w:w="996"/>
        <w:gridCol w:w="144"/>
        <w:gridCol w:w="1360"/>
        <w:gridCol w:w="56"/>
        <w:gridCol w:w="1024"/>
        <w:gridCol w:w="535"/>
        <w:gridCol w:w="345"/>
        <w:gridCol w:w="1781"/>
        <w:gridCol w:w="279"/>
        <w:gridCol w:w="1706"/>
      </w:tblGrid>
      <w:tr>
        <w:tblPrEx>
          <w:tblCellMar>
            <w:top w:w="0" w:type="dxa"/>
            <w:left w:w="108" w:type="dxa"/>
            <w:bottom w:w="0" w:type="dxa"/>
            <w:right w:w="108" w:type="dxa"/>
          </w:tblCellMar>
        </w:tblPrEx>
        <w:trPr>
          <w:trHeight w:val="405" w:hRule="atLeast"/>
        </w:trPr>
        <w:tc>
          <w:tcPr>
            <w:tcW w:w="8946" w:type="dxa"/>
            <w:gridSpan w:val="11"/>
            <w:vAlign w:val="center"/>
          </w:tcPr>
          <w:p>
            <w:pPr>
              <w:jc w:val="center"/>
              <w:rPr>
                <w:rFonts w:ascii="宋体" w:hAnsi="Calibri" w:eastAsia="宋体" w:cs="宋体"/>
                <w:b/>
                <w:bCs/>
                <w:color w:val="000000" w:themeColor="text1"/>
                <w:sz w:val="32"/>
                <w:szCs w:val="32"/>
              </w:rPr>
            </w:pPr>
            <w:r>
              <w:rPr>
                <w:rFonts w:hint="eastAsia" w:ascii="宋体" w:hAnsi="宋体" w:cs="宋体"/>
                <w:b/>
                <w:bCs/>
                <w:color w:val="000000" w:themeColor="text1"/>
                <w:sz w:val="32"/>
                <w:szCs w:val="32"/>
              </w:rPr>
              <w:t>新疆维吾尔自治区巴州和静县巴音布鲁克景区管理委员会</w:t>
            </w:r>
          </w:p>
          <w:p>
            <w:pPr>
              <w:jc w:val="center"/>
              <w:rPr>
                <w:rFonts w:ascii="宋体" w:cs="宋体"/>
                <w:b/>
                <w:bCs/>
                <w:color w:val="000000" w:themeColor="text1"/>
                <w:sz w:val="32"/>
                <w:szCs w:val="32"/>
              </w:rPr>
            </w:pPr>
            <w:r>
              <w:rPr>
                <w:rFonts w:hint="eastAsia" w:ascii="宋体" w:hAnsi="宋体" w:cs="宋体"/>
                <w:b/>
                <w:bCs/>
                <w:color w:val="000000" w:themeColor="text1"/>
                <w:sz w:val="32"/>
                <w:szCs w:val="32"/>
              </w:rPr>
              <w:t>项目支出绩效自评表</w:t>
            </w:r>
          </w:p>
        </w:tc>
      </w:tr>
      <w:tr>
        <w:tblPrEx>
          <w:tblCellMar>
            <w:top w:w="0" w:type="dxa"/>
            <w:left w:w="108" w:type="dxa"/>
            <w:bottom w:w="0" w:type="dxa"/>
            <w:right w:w="108" w:type="dxa"/>
          </w:tblCellMar>
        </w:tblPrEx>
        <w:trPr>
          <w:trHeight w:val="285" w:hRule="atLeast"/>
        </w:trPr>
        <w:tc>
          <w:tcPr>
            <w:tcW w:w="8946" w:type="dxa"/>
            <w:gridSpan w:val="11"/>
            <w:vAlign w:val="center"/>
          </w:tcPr>
          <w:p>
            <w:pPr>
              <w:jc w:val="center"/>
              <w:rPr>
                <w:rFonts w:ascii="宋体" w:cs="宋体"/>
                <w:color w:val="000000" w:themeColor="text1"/>
                <w:sz w:val="24"/>
                <w:szCs w:val="24"/>
              </w:rPr>
            </w:pPr>
            <w:r>
              <w:rPr>
                <w:rFonts w:hint="eastAsia" w:ascii="宋体" w:hAnsi="宋体" w:cs="宋体"/>
                <w:color w:val="000000" w:themeColor="text1"/>
                <w:sz w:val="24"/>
              </w:rPr>
              <w:t>（2018年度）</w:t>
            </w:r>
          </w:p>
        </w:tc>
      </w:tr>
      <w:tr>
        <w:tblPrEx>
          <w:tblCellMar>
            <w:top w:w="0" w:type="dxa"/>
            <w:left w:w="108" w:type="dxa"/>
            <w:bottom w:w="0" w:type="dxa"/>
            <w:right w:w="108" w:type="dxa"/>
          </w:tblCellMar>
        </w:tblPrEx>
        <w:trPr>
          <w:trHeight w:val="285" w:hRule="atLeast"/>
        </w:trPr>
        <w:tc>
          <w:tcPr>
            <w:tcW w:w="720" w:type="dxa"/>
            <w:vAlign w:val="center"/>
          </w:tcPr>
          <w:p>
            <w:pPr>
              <w:jc w:val="center"/>
              <w:rPr>
                <w:rFonts w:ascii="宋体" w:cs="宋体"/>
                <w:color w:val="000000" w:themeColor="text1"/>
                <w:sz w:val="24"/>
                <w:szCs w:val="24"/>
              </w:rPr>
            </w:pPr>
          </w:p>
        </w:tc>
        <w:tc>
          <w:tcPr>
            <w:tcW w:w="1140" w:type="dxa"/>
            <w:gridSpan w:val="2"/>
            <w:vAlign w:val="center"/>
          </w:tcPr>
          <w:p>
            <w:pPr>
              <w:jc w:val="center"/>
              <w:rPr>
                <w:rFonts w:ascii="宋体" w:cs="宋体"/>
                <w:color w:val="000000" w:themeColor="text1"/>
                <w:sz w:val="24"/>
                <w:szCs w:val="24"/>
              </w:rPr>
            </w:pPr>
          </w:p>
        </w:tc>
        <w:tc>
          <w:tcPr>
            <w:tcW w:w="1360" w:type="dxa"/>
            <w:vAlign w:val="center"/>
          </w:tcPr>
          <w:p>
            <w:pPr>
              <w:jc w:val="center"/>
              <w:rPr>
                <w:rFonts w:ascii="宋体" w:cs="宋体"/>
                <w:color w:val="000000" w:themeColor="text1"/>
                <w:sz w:val="24"/>
                <w:szCs w:val="24"/>
              </w:rPr>
            </w:pPr>
          </w:p>
        </w:tc>
        <w:tc>
          <w:tcPr>
            <w:tcW w:w="1080" w:type="dxa"/>
            <w:gridSpan w:val="2"/>
            <w:vAlign w:val="center"/>
          </w:tcPr>
          <w:p>
            <w:pPr>
              <w:jc w:val="center"/>
              <w:rPr>
                <w:rFonts w:ascii="宋体" w:cs="宋体"/>
                <w:color w:val="000000" w:themeColor="text1"/>
                <w:sz w:val="24"/>
                <w:szCs w:val="24"/>
              </w:rPr>
            </w:pPr>
          </w:p>
        </w:tc>
        <w:tc>
          <w:tcPr>
            <w:tcW w:w="880" w:type="dxa"/>
            <w:gridSpan w:val="2"/>
            <w:vAlign w:val="center"/>
          </w:tcPr>
          <w:p>
            <w:pPr>
              <w:jc w:val="center"/>
              <w:rPr>
                <w:rFonts w:ascii="宋体" w:cs="宋体"/>
                <w:color w:val="000000" w:themeColor="text1"/>
                <w:sz w:val="24"/>
                <w:szCs w:val="24"/>
              </w:rPr>
            </w:pPr>
          </w:p>
        </w:tc>
        <w:tc>
          <w:tcPr>
            <w:tcW w:w="2060" w:type="dxa"/>
            <w:gridSpan w:val="2"/>
            <w:vAlign w:val="center"/>
          </w:tcPr>
          <w:p>
            <w:pPr>
              <w:jc w:val="center"/>
              <w:rPr>
                <w:rFonts w:ascii="宋体" w:cs="宋体"/>
                <w:color w:val="000000" w:themeColor="text1"/>
                <w:sz w:val="24"/>
                <w:szCs w:val="24"/>
              </w:rPr>
            </w:pPr>
          </w:p>
        </w:tc>
        <w:tc>
          <w:tcPr>
            <w:tcW w:w="1706" w:type="dxa"/>
            <w:vAlign w:val="center"/>
          </w:tcPr>
          <w:p>
            <w:pPr>
              <w:jc w:val="center"/>
              <w:rPr>
                <w:rFonts w:ascii="宋体" w:cs="宋体"/>
                <w:color w:val="000000" w:themeColor="text1"/>
                <w:sz w:val="24"/>
                <w:szCs w:val="24"/>
              </w:rPr>
            </w:pPr>
          </w:p>
        </w:tc>
      </w:tr>
      <w:tr>
        <w:tblPrEx>
          <w:tblCellMar>
            <w:top w:w="0" w:type="dxa"/>
            <w:left w:w="108" w:type="dxa"/>
            <w:bottom w:w="0" w:type="dxa"/>
            <w:right w:w="108" w:type="dxa"/>
          </w:tblCellMar>
        </w:tblPrEx>
        <w:trPr>
          <w:trHeight w:val="420" w:hRule="atLeast"/>
        </w:trPr>
        <w:tc>
          <w:tcPr>
            <w:tcW w:w="3220" w:type="dxa"/>
            <w:gridSpan w:val="4"/>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项目名称</w:t>
            </w:r>
          </w:p>
        </w:tc>
        <w:tc>
          <w:tcPr>
            <w:tcW w:w="5726" w:type="dxa"/>
            <w:gridSpan w:val="7"/>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hAnsi="宋体" w:eastAsia="仿宋_GB2312" w:cs="宋体"/>
                <w:color w:val="000000" w:themeColor="text1"/>
                <w:sz w:val="20"/>
                <w:szCs w:val="20"/>
              </w:rPr>
              <w:t>入股东归餐饮资金及其他</w:t>
            </w:r>
            <w:r>
              <w:rPr>
                <w:rFonts w:hint="eastAsia" w:ascii="宋体" w:hAnsi="宋体" w:cs="宋体"/>
                <w:color w:val="000000" w:themeColor="text1"/>
                <w:sz w:val="20"/>
                <w:szCs w:val="20"/>
              </w:rPr>
              <w:t>　</w:t>
            </w:r>
          </w:p>
        </w:tc>
      </w:tr>
      <w:tr>
        <w:tblPrEx>
          <w:tblCellMar>
            <w:top w:w="0" w:type="dxa"/>
            <w:left w:w="108" w:type="dxa"/>
            <w:bottom w:w="0" w:type="dxa"/>
            <w:right w:w="108" w:type="dxa"/>
          </w:tblCellMar>
        </w:tblPrEx>
        <w:trPr>
          <w:trHeight w:val="435" w:hRule="atLeast"/>
        </w:trPr>
        <w:tc>
          <w:tcPr>
            <w:tcW w:w="3220" w:type="dxa"/>
            <w:gridSpan w:val="4"/>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预算单位</w:t>
            </w:r>
          </w:p>
        </w:tc>
        <w:tc>
          <w:tcPr>
            <w:tcW w:w="5726" w:type="dxa"/>
            <w:gridSpan w:val="7"/>
            <w:tcBorders>
              <w:top w:val="single" w:color="auto" w:sz="4" w:space="0"/>
              <w:left w:val="nil"/>
              <w:bottom w:val="single" w:color="auto" w:sz="4" w:space="0"/>
              <w:right w:val="single" w:color="000000" w:sz="4" w:space="0"/>
            </w:tcBorders>
            <w:vAlign w:val="center"/>
          </w:tcPr>
          <w:p>
            <w:pPr>
              <w:ind w:firstLine="700" w:firstLineChars="350"/>
              <w:jc w:val="both"/>
              <w:rPr>
                <w:rFonts w:ascii="宋体" w:cs="宋体"/>
                <w:color w:val="000000" w:themeColor="text1"/>
                <w:sz w:val="20"/>
                <w:szCs w:val="20"/>
              </w:rPr>
            </w:pPr>
            <w:r>
              <w:rPr>
                <w:rFonts w:hint="eastAsia" w:ascii="宋体" w:hAnsi="宋体" w:cs="宋体"/>
                <w:color w:val="000000" w:themeColor="text1"/>
                <w:sz w:val="20"/>
                <w:szCs w:val="20"/>
              </w:rPr>
              <w:t>和静县巴音布鲁克景区管理委员会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预算</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执行</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（万元）</w:t>
            </w:r>
          </w:p>
        </w:tc>
        <w:tc>
          <w:tcPr>
            <w:tcW w:w="2500" w:type="dxa"/>
            <w:gridSpan w:val="3"/>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xml:space="preserve"> 预算数：</w:t>
            </w:r>
          </w:p>
        </w:tc>
        <w:tc>
          <w:tcPr>
            <w:tcW w:w="1615" w:type="dxa"/>
            <w:gridSpan w:val="3"/>
            <w:tcBorders>
              <w:top w:val="single" w:color="auto" w:sz="4" w:space="0"/>
              <w:left w:val="nil"/>
              <w:bottom w:val="single" w:color="auto" w:sz="4" w:space="0"/>
              <w:right w:val="single" w:color="000000"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215.55万元</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hAnsi="宋体" w:cs="宋体"/>
                <w:color w:val="000000" w:themeColor="text1"/>
                <w:sz w:val="20"/>
                <w:szCs w:val="20"/>
              </w:rPr>
              <w:t xml:space="preserve"> 执行数：</w:t>
            </w:r>
          </w:p>
        </w:tc>
        <w:tc>
          <w:tcPr>
            <w:tcW w:w="1985" w:type="dxa"/>
            <w:gridSpan w:val="2"/>
            <w:tcBorders>
              <w:top w:val="nil"/>
              <w:left w:val="nil"/>
              <w:bottom w:val="single" w:color="auto" w:sz="4" w:space="0"/>
              <w:right w:val="single" w:color="auto" w:sz="4" w:space="0"/>
            </w:tcBorders>
            <w:vAlign w:val="center"/>
          </w:tcPr>
          <w:p>
            <w:pPr>
              <w:ind w:right="100"/>
              <w:jc w:val="right"/>
              <w:rPr>
                <w:rFonts w:ascii="宋体" w:cs="宋体"/>
                <w:color w:val="000000" w:themeColor="text1"/>
                <w:sz w:val="20"/>
                <w:szCs w:val="20"/>
              </w:rPr>
            </w:pPr>
            <w:r>
              <w:rPr>
                <w:rFonts w:hint="eastAsia" w:ascii="宋体" w:hAnsi="宋体" w:cs="宋体"/>
                <w:color w:val="000000" w:themeColor="text1"/>
                <w:sz w:val="20"/>
                <w:szCs w:val="20"/>
              </w:rPr>
              <w:t>215.55万元　</w:t>
            </w:r>
          </w:p>
        </w:tc>
      </w:tr>
      <w:tr>
        <w:tblPrEx>
          <w:tblCellMar>
            <w:top w:w="0" w:type="dxa"/>
            <w:left w:w="108" w:type="dxa"/>
            <w:bottom w:w="0" w:type="dxa"/>
            <w:right w:w="108" w:type="dxa"/>
          </w:tblCellMar>
        </w:tblPrEx>
        <w:trPr>
          <w:trHeight w:val="509"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2500" w:type="dxa"/>
            <w:gridSpan w:val="3"/>
            <w:tcBorders>
              <w:top w:val="single" w:color="auto" w:sz="4" w:space="0"/>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其中：财政拨款</w:t>
            </w:r>
          </w:p>
        </w:tc>
        <w:tc>
          <w:tcPr>
            <w:tcW w:w="1615" w:type="dxa"/>
            <w:gridSpan w:val="3"/>
            <w:tcBorders>
              <w:top w:val="single" w:color="auto" w:sz="4" w:space="0"/>
              <w:left w:val="nil"/>
              <w:bottom w:val="single" w:color="auto" w:sz="4" w:space="0"/>
              <w:right w:val="single" w:color="000000"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215.55万元</w:t>
            </w:r>
          </w:p>
        </w:tc>
        <w:tc>
          <w:tcPr>
            <w:tcW w:w="2126"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其中：财政拨款</w:t>
            </w:r>
          </w:p>
        </w:tc>
        <w:tc>
          <w:tcPr>
            <w:tcW w:w="1985"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215.55万元　</w:t>
            </w:r>
          </w:p>
        </w:tc>
      </w:tr>
      <w:tr>
        <w:tblPrEx>
          <w:tblCellMar>
            <w:top w:w="0" w:type="dxa"/>
            <w:left w:w="108" w:type="dxa"/>
            <w:bottom w:w="0" w:type="dxa"/>
            <w:right w:w="108" w:type="dxa"/>
          </w:tblCellMar>
        </w:tblPrEx>
        <w:trPr>
          <w:trHeight w:val="433"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2500" w:type="dxa"/>
            <w:gridSpan w:val="3"/>
            <w:tcBorders>
              <w:top w:val="single" w:color="auto" w:sz="4" w:space="0"/>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其他资金</w:t>
            </w:r>
          </w:p>
        </w:tc>
        <w:tc>
          <w:tcPr>
            <w:tcW w:w="1615" w:type="dxa"/>
            <w:gridSpan w:val="3"/>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0</w:t>
            </w:r>
            <w:r>
              <w:rPr>
                <w:rFonts w:hint="eastAsia" w:ascii="宋体" w:hAnsi="宋体" w:cs="宋体"/>
                <w:color w:val="000000" w:themeColor="text1"/>
                <w:sz w:val="20"/>
                <w:szCs w:val="20"/>
              </w:rPr>
              <w:t>　</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hAnsi="宋体" w:cs="宋体"/>
                <w:color w:val="000000" w:themeColor="text1"/>
                <w:sz w:val="20"/>
                <w:szCs w:val="20"/>
              </w:rPr>
              <w:t>其他资金</w:t>
            </w:r>
          </w:p>
        </w:tc>
        <w:tc>
          <w:tcPr>
            <w:tcW w:w="1985" w:type="dxa"/>
            <w:gridSpan w:val="2"/>
            <w:tcBorders>
              <w:top w:val="nil"/>
              <w:left w:val="nil"/>
              <w:bottom w:val="single" w:color="auto" w:sz="4" w:space="0"/>
              <w:right w:val="single" w:color="auto" w:sz="4" w:space="0"/>
            </w:tcBorders>
            <w:vAlign w:val="center"/>
          </w:tcPr>
          <w:p>
            <w:pPr>
              <w:jc w:val="right"/>
              <w:rPr>
                <w:rFonts w:ascii="宋体" w:cs="宋体"/>
                <w:color w:val="000000" w:themeColor="text1"/>
                <w:sz w:val="20"/>
                <w:szCs w:val="20"/>
              </w:rPr>
            </w:pPr>
            <w:r>
              <w:rPr>
                <w:rFonts w:hint="eastAsia" w:ascii="宋体" w:cs="宋体"/>
                <w:color w:val="000000" w:themeColor="text1"/>
                <w:sz w:val="20"/>
                <w:szCs w:val="20"/>
              </w:rPr>
              <w:t>0</w:t>
            </w:r>
            <w:r>
              <w:rPr>
                <w:rFonts w:hint="eastAsia" w:ascii="宋体" w:hAnsi="宋体" w:cs="宋体"/>
                <w:color w:val="000000" w:themeColor="text1"/>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年度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目标</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完成</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p>
        </w:tc>
        <w:tc>
          <w:tcPr>
            <w:tcW w:w="4115" w:type="dxa"/>
            <w:gridSpan w:val="6"/>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预期目标</w:t>
            </w:r>
          </w:p>
        </w:tc>
        <w:tc>
          <w:tcPr>
            <w:tcW w:w="4111" w:type="dxa"/>
            <w:gridSpan w:val="4"/>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实际完成目标</w:t>
            </w:r>
          </w:p>
        </w:tc>
      </w:tr>
      <w:tr>
        <w:tblPrEx>
          <w:tblCellMar>
            <w:top w:w="0" w:type="dxa"/>
            <w:left w:w="108" w:type="dxa"/>
            <w:bottom w:w="0" w:type="dxa"/>
            <w:right w:w="108" w:type="dxa"/>
          </w:tblCellMar>
        </w:tblPrEx>
        <w:trPr>
          <w:trHeight w:val="1238" w:hRule="atLeast"/>
        </w:trPr>
        <w:tc>
          <w:tcPr>
            <w:tcW w:w="300" w:type="dxa"/>
            <w:vMerge w:val="continue"/>
            <w:tcBorders>
              <w:top w:val="nil"/>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4115" w:type="dxa"/>
            <w:gridSpan w:val="6"/>
            <w:tcBorders>
              <w:top w:val="single" w:color="auto" w:sz="4" w:space="0"/>
              <w:left w:val="nil"/>
              <w:bottom w:val="single" w:color="auto" w:sz="4" w:space="0"/>
              <w:right w:val="single" w:color="000000" w:sz="4" w:space="0"/>
            </w:tcBorders>
          </w:tcPr>
          <w:p>
            <w:pPr>
              <w:rPr>
                <w:rFonts w:ascii="宋体" w:cs="宋体"/>
                <w:color w:val="000000" w:themeColor="text1"/>
                <w:sz w:val="20"/>
                <w:szCs w:val="20"/>
              </w:rPr>
            </w:pPr>
            <w:r>
              <w:rPr>
                <w:rFonts w:hint="eastAsia" w:ascii="宋体" w:hAnsi="宋体" w:cs="宋体"/>
                <w:color w:val="000000" w:themeColor="text1"/>
                <w:sz w:val="20"/>
                <w:szCs w:val="20"/>
              </w:rPr>
              <w:t>　</w:t>
            </w:r>
            <w:r>
              <w:rPr>
                <w:rFonts w:hint="eastAsia" w:ascii="宋体" w:hAnsi="宋体" w:eastAsia="宋体" w:cs="宋体"/>
                <w:color w:val="000000" w:themeColor="text1"/>
                <w:spacing w:val="-4"/>
                <w:sz w:val="20"/>
                <w:szCs w:val="20"/>
              </w:rPr>
              <w:t>为了促进国有企业抱团发展，巴州天鹅湖旅游开发有限责任公司入股和静县东归餐饮公司1000万元。</w:t>
            </w:r>
          </w:p>
        </w:tc>
        <w:tc>
          <w:tcPr>
            <w:tcW w:w="4111" w:type="dxa"/>
            <w:gridSpan w:val="4"/>
            <w:tcBorders>
              <w:top w:val="single" w:color="auto" w:sz="4" w:space="0"/>
              <w:left w:val="nil"/>
              <w:bottom w:val="single" w:color="auto" w:sz="4" w:space="0"/>
              <w:right w:val="single" w:color="000000" w:sz="4" w:space="0"/>
            </w:tcBorders>
          </w:tcPr>
          <w:p>
            <w:pPr>
              <w:rPr>
                <w:rFonts w:hint="eastAsia" w:ascii="宋体" w:hAnsi="宋体" w:eastAsia="宋体" w:cs="宋体"/>
                <w:color w:val="000000" w:themeColor="text1"/>
                <w:spacing w:val="-4"/>
                <w:sz w:val="20"/>
                <w:szCs w:val="20"/>
              </w:rPr>
            </w:pPr>
            <w:r>
              <w:rPr>
                <w:rFonts w:hint="eastAsia" w:ascii="宋体" w:hAnsi="宋体" w:eastAsia="宋体" w:cs="宋体"/>
                <w:color w:val="000000" w:themeColor="text1"/>
                <w:sz w:val="20"/>
                <w:szCs w:val="20"/>
              </w:rPr>
              <w:t>巴州天鹅湖旅游开发有限责任公司已入股和静县东归餐饮公司，</w:t>
            </w:r>
            <w:r>
              <w:rPr>
                <w:rFonts w:hint="eastAsia" w:ascii="宋体" w:hAnsi="宋体" w:eastAsia="宋体" w:cs="宋体"/>
                <w:color w:val="000000" w:themeColor="text1"/>
                <w:spacing w:val="-4"/>
                <w:sz w:val="20"/>
                <w:szCs w:val="20"/>
              </w:rPr>
              <w:t>促进国有企业抱团发展。</w:t>
            </w:r>
          </w:p>
          <w:p>
            <w:pPr>
              <w:rPr>
                <w:rFonts w:ascii="宋体" w:cs="宋体"/>
                <w:color w:val="000000" w:themeColor="text1"/>
                <w:sz w:val="20"/>
                <w:szCs w:val="20"/>
              </w:rPr>
            </w:pPr>
            <w:r>
              <w:rPr>
                <w:rFonts w:hint="eastAsia" w:ascii="宋体" w:hAnsi="宋体" w:eastAsia="宋体" w:cs="宋体"/>
                <w:color w:val="000000" w:themeColor="text1"/>
                <w:spacing w:val="-4"/>
                <w:sz w:val="20"/>
                <w:szCs w:val="20"/>
              </w:rPr>
              <w:t>但没有足额入股。</w:t>
            </w:r>
          </w:p>
        </w:tc>
      </w:tr>
      <w:tr>
        <w:tblPrEx>
          <w:tblCellMar>
            <w:top w:w="0" w:type="dxa"/>
            <w:left w:w="108" w:type="dxa"/>
            <w:bottom w:w="0" w:type="dxa"/>
            <w:right w:w="108" w:type="dxa"/>
          </w:tblCellMar>
        </w:tblPrEx>
        <w:trPr>
          <w:trHeight w:val="720"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000000" w:themeColor="text1"/>
                <w:sz w:val="20"/>
                <w:szCs w:val="20"/>
              </w:rPr>
            </w:pPr>
            <w:r>
              <w:rPr>
                <w:rFonts w:hint="eastAsia" w:ascii="宋体" w:hAnsi="宋体" w:cs="宋体"/>
                <w:color w:val="000000" w:themeColor="text1"/>
                <w:sz w:val="20"/>
                <w:szCs w:val="20"/>
              </w:rPr>
              <w:t>年度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绩效</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完成</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情况</w:t>
            </w: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center"/>
              <w:rPr>
                <w:rFonts w:hint="eastAsia" w:ascii="宋体" w:hAnsi="宋体" w:cs="宋体"/>
                <w:color w:val="000000" w:themeColor="text1"/>
                <w:sz w:val="20"/>
                <w:szCs w:val="20"/>
              </w:rPr>
            </w:pPr>
          </w:p>
          <w:p>
            <w:pPr>
              <w:jc w:val="both"/>
              <w:rPr>
                <w:rFonts w:ascii="宋体" w:hAnsi="宋体" w:cs="宋体"/>
                <w:color w:val="000000" w:themeColor="text1"/>
                <w:sz w:val="20"/>
                <w:szCs w:val="20"/>
              </w:rPr>
            </w:pPr>
          </w:p>
        </w:tc>
        <w:tc>
          <w:tcPr>
            <w:tcW w:w="996" w:type="dxa"/>
            <w:tcBorders>
              <w:top w:val="nil"/>
              <w:left w:val="nil"/>
              <w:bottom w:val="nil"/>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一级指标</w:t>
            </w:r>
          </w:p>
        </w:tc>
        <w:tc>
          <w:tcPr>
            <w:tcW w:w="1560" w:type="dxa"/>
            <w:gridSpan w:val="3"/>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二级指标</w:t>
            </w:r>
          </w:p>
        </w:tc>
        <w:tc>
          <w:tcPr>
            <w:tcW w:w="1559" w:type="dxa"/>
            <w:gridSpan w:val="2"/>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三级指标</w:t>
            </w:r>
          </w:p>
        </w:tc>
        <w:tc>
          <w:tcPr>
            <w:tcW w:w="2126" w:type="dxa"/>
            <w:gridSpan w:val="2"/>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预期指标值（包含数字及文字描述）</w:t>
            </w:r>
          </w:p>
        </w:tc>
        <w:tc>
          <w:tcPr>
            <w:tcW w:w="1985" w:type="dxa"/>
            <w:gridSpan w:val="2"/>
            <w:tcBorders>
              <w:top w:val="nil"/>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项目完成指标</w:t>
            </w: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数量指标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入股东归餐饮公司资金</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≥22%</w:t>
            </w:r>
          </w:p>
        </w:tc>
      </w:tr>
      <w:tr>
        <w:tblPrEx>
          <w:tblCellMar>
            <w:top w:w="0" w:type="dxa"/>
            <w:left w:w="108" w:type="dxa"/>
            <w:bottom w:w="0" w:type="dxa"/>
            <w:right w:w="108" w:type="dxa"/>
          </w:tblCellMar>
        </w:tblPrEx>
        <w:trPr>
          <w:trHeight w:val="387"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时效指标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完成进度率</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≥22%</w:t>
            </w:r>
          </w:p>
        </w:tc>
      </w:tr>
      <w:tr>
        <w:tblPrEx>
          <w:tblCellMar>
            <w:top w:w="0" w:type="dxa"/>
            <w:left w:w="108" w:type="dxa"/>
            <w:bottom w:w="0" w:type="dxa"/>
            <w:right w:w="108" w:type="dxa"/>
          </w:tblCellMar>
        </w:tblPrEx>
        <w:trPr>
          <w:trHeight w:val="746"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成本指标</w:t>
            </w:r>
          </w:p>
        </w:tc>
        <w:tc>
          <w:tcPr>
            <w:tcW w:w="1559" w:type="dxa"/>
            <w:gridSpan w:val="2"/>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预定成本完成率</w:t>
            </w:r>
          </w:p>
        </w:tc>
        <w:tc>
          <w:tcPr>
            <w:tcW w:w="2126"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≥22%</w:t>
            </w:r>
          </w:p>
        </w:tc>
      </w:tr>
      <w:tr>
        <w:tblPrEx>
          <w:tblCellMar>
            <w:top w:w="0" w:type="dxa"/>
            <w:left w:w="108" w:type="dxa"/>
            <w:bottom w:w="0" w:type="dxa"/>
            <w:right w:w="108" w:type="dxa"/>
          </w:tblCellMar>
        </w:tblPrEx>
        <w:trPr>
          <w:trHeight w:val="416"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9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项目效果指标</w:t>
            </w:r>
          </w:p>
        </w:tc>
        <w:tc>
          <w:tcPr>
            <w:tcW w:w="15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经济效益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hAnsi="Calibri" w:eastAsia="宋体" w:cs="宋体"/>
                <w:color w:val="000000" w:themeColor="text1"/>
                <w:sz w:val="20"/>
                <w:szCs w:val="20"/>
              </w:rPr>
            </w:pPr>
            <w:r>
              <w:rPr>
                <w:rFonts w:hint="eastAsia" w:ascii="宋体" w:cs="宋体"/>
                <w:color w:val="000000" w:themeColor="text1"/>
                <w:sz w:val="20"/>
                <w:szCs w:val="20"/>
              </w:rPr>
              <w:t>收入增长率</w:t>
            </w:r>
          </w:p>
          <w:p>
            <w:pPr>
              <w:rPr>
                <w:rFonts w:ascii="宋体" w:cs="宋体"/>
                <w:color w:val="000000" w:themeColor="text1"/>
                <w:sz w:val="20"/>
                <w:szCs w:val="20"/>
              </w:rPr>
            </w:pPr>
          </w:p>
        </w:tc>
        <w:tc>
          <w:tcPr>
            <w:tcW w:w="2126"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≥20%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≥13%</w:t>
            </w:r>
          </w:p>
        </w:tc>
      </w:tr>
      <w:tr>
        <w:tblPrEx>
          <w:tblCellMar>
            <w:top w:w="0" w:type="dxa"/>
            <w:left w:w="108" w:type="dxa"/>
            <w:bottom w:w="0" w:type="dxa"/>
            <w:right w:w="108" w:type="dxa"/>
          </w:tblCellMar>
        </w:tblPrEx>
        <w:trPr>
          <w:trHeight w:val="48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社会效益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就业率</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r>
      <w:tr>
        <w:tblPrEx>
          <w:tblCellMar>
            <w:top w:w="0" w:type="dxa"/>
            <w:left w:w="108" w:type="dxa"/>
            <w:bottom w:w="0" w:type="dxa"/>
            <w:right w:w="108" w:type="dxa"/>
          </w:tblCellMar>
        </w:tblPrEx>
        <w:trPr>
          <w:trHeight w:val="474"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nil"/>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生态效益</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绿化覆盖率</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≥95%</w:t>
            </w:r>
          </w:p>
        </w:tc>
      </w:tr>
      <w:tr>
        <w:tblPrEx>
          <w:tblCellMar>
            <w:top w:w="0" w:type="dxa"/>
            <w:left w:w="108" w:type="dxa"/>
            <w:bottom w:w="0" w:type="dxa"/>
            <w:right w:w="108" w:type="dxa"/>
          </w:tblCellMar>
        </w:tblPrEx>
        <w:trPr>
          <w:trHeight w:val="52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cs="宋体"/>
                <w:color w:val="000000" w:themeColor="text1"/>
                <w:sz w:val="20"/>
                <w:szCs w:val="20"/>
              </w:rPr>
            </w:pPr>
          </w:p>
        </w:tc>
        <w:tc>
          <w:tcPr>
            <w:tcW w:w="1560" w:type="dxa"/>
            <w:gridSpan w:val="3"/>
            <w:tcBorders>
              <w:top w:val="nil"/>
              <w:left w:val="single" w:color="auto" w:sz="4" w:space="0"/>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可持续影响</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59"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经济发展与环境的协调率</w:t>
            </w:r>
          </w:p>
        </w:tc>
        <w:tc>
          <w:tcPr>
            <w:tcW w:w="2126"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≥100%</w:t>
            </w:r>
          </w:p>
        </w:tc>
        <w:tc>
          <w:tcPr>
            <w:tcW w:w="1985" w:type="dxa"/>
            <w:gridSpan w:val="2"/>
            <w:tcBorders>
              <w:top w:val="nil"/>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≥95%</w:t>
            </w:r>
          </w:p>
        </w:tc>
      </w:tr>
      <w:tr>
        <w:tblPrEx>
          <w:tblCellMar>
            <w:top w:w="0" w:type="dxa"/>
            <w:left w:w="108" w:type="dxa"/>
            <w:bottom w:w="0" w:type="dxa"/>
            <w:right w:w="108" w:type="dxa"/>
          </w:tblCellMar>
        </w:tblPrEx>
        <w:trPr>
          <w:trHeight w:val="67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themeColor="text1"/>
                <w:sz w:val="20"/>
                <w:szCs w:val="20"/>
              </w:rPr>
            </w:pPr>
          </w:p>
        </w:tc>
        <w:tc>
          <w:tcPr>
            <w:tcW w:w="996" w:type="dxa"/>
            <w:tcBorders>
              <w:top w:val="single" w:color="auto" w:sz="4" w:space="0"/>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满意度</w:t>
            </w:r>
            <w:r>
              <w:rPr>
                <w:rFonts w:hint="eastAsia" w:ascii="宋体" w:cs="宋体"/>
                <w:color w:val="000000" w:themeColor="text1"/>
                <w:sz w:val="20"/>
                <w:szCs w:val="20"/>
              </w:rPr>
              <w:br w:type="textWrapping"/>
            </w:r>
            <w:r>
              <w:rPr>
                <w:rFonts w:hint="eastAsia" w:ascii="宋体" w:hAnsi="宋体" w:cs="宋体"/>
                <w:color w:val="000000" w:themeColor="text1"/>
                <w:sz w:val="20"/>
                <w:szCs w:val="20"/>
              </w:rPr>
              <w:t>指标</w:t>
            </w:r>
          </w:p>
        </w:tc>
        <w:tc>
          <w:tcPr>
            <w:tcW w:w="1560" w:type="dxa"/>
            <w:gridSpan w:val="3"/>
            <w:tcBorders>
              <w:top w:val="single" w:color="auto" w:sz="4" w:space="0"/>
              <w:left w:val="single" w:color="auto" w:sz="4" w:space="0"/>
              <w:bottom w:val="single" w:color="000000" w:sz="4" w:space="0"/>
              <w:right w:val="single" w:color="auto" w:sz="4" w:space="0"/>
            </w:tcBorders>
            <w:vAlign w:val="center"/>
          </w:tcPr>
          <w:p>
            <w:pPr>
              <w:jc w:val="center"/>
              <w:rPr>
                <w:rFonts w:ascii="宋体" w:cs="宋体"/>
                <w:color w:val="000000" w:themeColor="text1"/>
                <w:sz w:val="20"/>
                <w:szCs w:val="20"/>
              </w:rPr>
            </w:pPr>
            <w:r>
              <w:rPr>
                <w:rFonts w:hint="eastAsia" w:ascii="宋体" w:hAnsi="宋体" w:cs="宋体"/>
                <w:color w:val="000000" w:themeColor="text1"/>
                <w:sz w:val="20"/>
                <w:szCs w:val="20"/>
              </w:rPr>
              <w:t>满意度指标</w:t>
            </w:r>
          </w:p>
        </w:tc>
        <w:tc>
          <w:tcPr>
            <w:tcW w:w="1559" w:type="dxa"/>
            <w:gridSpan w:val="2"/>
            <w:tcBorders>
              <w:top w:val="single" w:color="auto" w:sz="4" w:space="0"/>
              <w:left w:val="nil"/>
              <w:bottom w:val="single" w:color="auto" w:sz="4" w:space="0"/>
              <w:right w:val="single" w:color="auto" w:sz="4" w:space="0"/>
            </w:tcBorders>
            <w:vAlign w:val="center"/>
          </w:tcPr>
          <w:p>
            <w:pPr>
              <w:jc w:val="center"/>
              <w:rPr>
                <w:rFonts w:ascii="宋体" w:cs="宋体"/>
                <w:color w:val="000000" w:themeColor="text1"/>
                <w:sz w:val="20"/>
                <w:szCs w:val="20"/>
              </w:rPr>
            </w:pPr>
            <w:r>
              <w:rPr>
                <w:rFonts w:hint="eastAsia" w:ascii="宋体" w:cs="宋体"/>
                <w:color w:val="000000" w:themeColor="text1"/>
                <w:sz w:val="20"/>
                <w:szCs w:val="20"/>
              </w:rPr>
              <w:t>游客满意度</w:t>
            </w:r>
          </w:p>
        </w:tc>
        <w:tc>
          <w:tcPr>
            <w:tcW w:w="2126"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c>
          <w:tcPr>
            <w:tcW w:w="1985" w:type="dxa"/>
            <w:gridSpan w:val="2"/>
            <w:tcBorders>
              <w:top w:val="single" w:color="auto" w:sz="4" w:space="0"/>
              <w:left w:val="nil"/>
              <w:bottom w:val="single" w:color="auto" w:sz="4" w:space="0"/>
              <w:right w:val="single" w:color="auto" w:sz="4" w:space="0"/>
            </w:tcBorders>
            <w:vAlign w:val="center"/>
          </w:tcPr>
          <w:p>
            <w:pPr>
              <w:rPr>
                <w:rFonts w:ascii="宋体" w:cs="宋体"/>
                <w:color w:val="000000" w:themeColor="text1"/>
                <w:sz w:val="20"/>
                <w:szCs w:val="20"/>
              </w:rPr>
            </w:pPr>
            <w:r>
              <w:rPr>
                <w:rFonts w:hint="eastAsia" w:ascii="宋体" w:cs="宋体"/>
                <w:color w:val="000000" w:themeColor="text1"/>
                <w:sz w:val="20"/>
                <w:szCs w:val="20"/>
              </w:rPr>
              <w:t>≥30%</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41CB"/>
    <w:rsid w:val="00056465"/>
    <w:rsid w:val="00121AE4"/>
    <w:rsid w:val="00146AAD"/>
    <w:rsid w:val="001B3A40"/>
    <w:rsid w:val="00227FFD"/>
    <w:rsid w:val="002574E5"/>
    <w:rsid w:val="002E590A"/>
    <w:rsid w:val="003908B7"/>
    <w:rsid w:val="003E0E2A"/>
    <w:rsid w:val="004366A8"/>
    <w:rsid w:val="004F6122"/>
    <w:rsid w:val="00502BA7"/>
    <w:rsid w:val="005162F1"/>
    <w:rsid w:val="00535153"/>
    <w:rsid w:val="00554F82"/>
    <w:rsid w:val="00557407"/>
    <w:rsid w:val="0056390D"/>
    <w:rsid w:val="005719B0"/>
    <w:rsid w:val="005D10D6"/>
    <w:rsid w:val="00657176"/>
    <w:rsid w:val="00694588"/>
    <w:rsid w:val="0069633C"/>
    <w:rsid w:val="006E6BB4"/>
    <w:rsid w:val="00743B81"/>
    <w:rsid w:val="0075509E"/>
    <w:rsid w:val="007B311A"/>
    <w:rsid w:val="00807007"/>
    <w:rsid w:val="00855E3A"/>
    <w:rsid w:val="00922CB9"/>
    <w:rsid w:val="0092573B"/>
    <w:rsid w:val="009564B6"/>
    <w:rsid w:val="00990C9B"/>
    <w:rsid w:val="009D2ACB"/>
    <w:rsid w:val="009E5CD9"/>
    <w:rsid w:val="00A0788A"/>
    <w:rsid w:val="00A26421"/>
    <w:rsid w:val="00A2662E"/>
    <w:rsid w:val="00A4293B"/>
    <w:rsid w:val="00A5352F"/>
    <w:rsid w:val="00A67D50"/>
    <w:rsid w:val="00A751FD"/>
    <w:rsid w:val="00A8691A"/>
    <w:rsid w:val="00AC1946"/>
    <w:rsid w:val="00B40063"/>
    <w:rsid w:val="00B41F61"/>
    <w:rsid w:val="00BA46E6"/>
    <w:rsid w:val="00C56C72"/>
    <w:rsid w:val="00CA6457"/>
    <w:rsid w:val="00CC6ADD"/>
    <w:rsid w:val="00D06C4F"/>
    <w:rsid w:val="00D16AF4"/>
    <w:rsid w:val="00D17F2E"/>
    <w:rsid w:val="00D30354"/>
    <w:rsid w:val="00D926BD"/>
    <w:rsid w:val="00DF42A0"/>
    <w:rsid w:val="00E00D00"/>
    <w:rsid w:val="00E769FE"/>
    <w:rsid w:val="00EA2CBE"/>
    <w:rsid w:val="00F32FEE"/>
    <w:rsid w:val="00FB10BB"/>
    <w:rsid w:val="05021196"/>
    <w:rsid w:val="09700477"/>
    <w:rsid w:val="0C4A49CF"/>
    <w:rsid w:val="0EF8535E"/>
    <w:rsid w:val="10955CDA"/>
    <w:rsid w:val="14FB4CB7"/>
    <w:rsid w:val="18145066"/>
    <w:rsid w:val="19F01A61"/>
    <w:rsid w:val="1E9D04EB"/>
    <w:rsid w:val="23316063"/>
    <w:rsid w:val="25A773D8"/>
    <w:rsid w:val="2BDE6967"/>
    <w:rsid w:val="2F800AD0"/>
    <w:rsid w:val="31B66D05"/>
    <w:rsid w:val="339D02EF"/>
    <w:rsid w:val="37FC34C7"/>
    <w:rsid w:val="38C5391C"/>
    <w:rsid w:val="395D2C05"/>
    <w:rsid w:val="401D0A71"/>
    <w:rsid w:val="420179AA"/>
    <w:rsid w:val="4246192D"/>
    <w:rsid w:val="472238F6"/>
    <w:rsid w:val="489E2F4D"/>
    <w:rsid w:val="4A92320C"/>
    <w:rsid w:val="4C114750"/>
    <w:rsid w:val="4D8A0091"/>
    <w:rsid w:val="4E75747F"/>
    <w:rsid w:val="501178C8"/>
    <w:rsid w:val="51A050EA"/>
    <w:rsid w:val="54B8738B"/>
    <w:rsid w:val="5C382C7B"/>
    <w:rsid w:val="5DDE1E16"/>
    <w:rsid w:val="5EE14349"/>
    <w:rsid w:val="5F38250B"/>
    <w:rsid w:val="612F4672"/>
    <w:rsid w:val="61953F8D"/>
    <w:rsid w:val="61DD20C0"/>
    <w:rsid w:val="62502DE6"/>
    <w:rsid w:val="68C571EC"/>
    <w:rsid w:val="771C5777"/>
    <w:rsid w:val="78DB4CDE"/>
    <w:rsid w:val="792C68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377</Words>
  <Characters>2151</Characters>
  <Lines>17</Lines>
  <Paragraphs>5</Paragraphs>
  <TotalTime>4</TotalTime>
  <ScaleCrop>false</ScaleCrop>
  <LinksUpToDate>false</LinksUpToDate>
  <CharactersWithSpaces>2523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2021-05-29T10:55:49Z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