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5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257"/>
        <w:gridCol w:w="585"/>
        <w:gridCol w:w="1134"/>
        <w:gridCol w:w="284"/>
        <w:gridCol w:w="1051"/>
        <w:gridCol w:w="933"/>
        <w:gridCol w:w="131"/>
        <w:gridCol w:w="463"/>
        <w:gridCol w:w="236"/>
        <w:gridCol w:w="229"/>
        <w:gridCol w:w="501"/>
        <w:gridCol w:w="11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4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54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7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2015年县城污水处理厂提标改造项目增项一实验室及消毒，格栅设备剩余款（静住建【2019】189号）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和静县住房和城乡建设局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县城污水处理厂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24.15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24.15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24.15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24.15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对县城污水处理厂进行提标改造，新增一批实验室用具及MBR膜池等沉淀池设备。</w:t>
            </w:r>
          </w:p>
        </w:tc>
        <w:tc>
          <w:tcPr>
            <w:tcW w:w="36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2015年县城污水处理厂提标改造项目增项一实验室及消毒，格栅设备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，使县城污水厂出水水质达到国家一级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B标准。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膜格栅间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1座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1座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实验室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1间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1间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MBR膜池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1座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1座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设备合格率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出水水质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国家1级B标准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国家1级B标准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资金支付起始时间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2015年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2015年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设备安装完成时间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2015年8月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2015年8月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资金支付截止时间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2020年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2020年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30" w:firstLineChars="100"/>
              <w:jc w:val="left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  <w:t>因资金支付手续办理复杂，资金支付不及时。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膜格栅间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实验室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保障县城生活用水水质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≥98%</w:t>
            </w: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60" w:firstLineChars="100"/>
              <w:jc w:val="both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改进污水处理设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备，日后进一步完善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保障县城用水达到国家环保要求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≥98%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工程持续时间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受益群体满意度（%）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改进排污技术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公众投诉次数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94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C9"/>
    <w:rsid w:val="000B4E42"/>
    <w:rsid w:val="0043448B"/>
    <w:rsid w:val="00535AC9"/>
    <w:rsid w:val="00E3118B"/>
    <w:rsid w:val="0C6477A5"/>
    <w:rsid w:val="2C497654"/>
    <w:rsid w:val="2E063AF9"/>
    <w:rsid w:val="4BAE74C6"/>
    <w:rsid w:val="5FF73411"/>
    <w:rsid w:val="7E1B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2020-06-07T18:10:49Z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