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</w:t>
      </w:r>
      <w:r>
        <w:rPr>
          <w:rFonts w:ascii="仿宋" w:hAnsi="仿宋" w:eastAsia="仿宋" w:cs="宋体"/>
          <w:kern w:val="0"/>
          <w:sz w:val="32"/>
          <w:szCs w:val="32"/>
        </w:rPr>
        <w:t>1</w:t>
      </w:r>
      <w:r>
        <w:rPr>
          <w:rFonts w:hint="eastAsia" w:ascii="仿宋" w:hAnsi="仿宋" w:eastAsia="仿宋" w:cs="宋体"/>
          <w:kern w:val="0"/>
          <w:sz w:val="32"/>
          <w:szCs w:val="32"/>
        </w:rPr>
        <w:t>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</w:pP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  <w:t>和静县农业局</w:t>
      </w: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  <w:t>财政项目支出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</w:pP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  <w:t>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Ansi="宋体" w:eastAsia="仿宋_GB2312" w:cs="宋体"/>
          <w:kern w:val="0"/>
          <w:sz w:val="36"/>
          <w:szCs w:val="36"/>
        </w:rPr>
        <w:t>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750" w:firstLineChars="250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Ansi="宋体" w:eastAsia="仿宋_GB2312" w:cs="宋体"/>
          <w:kern w:val="0"/>
          <w:sz w:val="36"/>
          <w:szCs w:val="36"/>
        </w:rPr>
        <w:t xml:space="preserve">    </w:t>
      </w:r>
      <w:r>
        <w:rPr>
          <w:rFonts w:hint="eastAsia" w:hAnsi="宋体" w:eastAsia="仿宋_GB2312" w:cs="宋体"/>
          <w:kern w:val="0"/>
          <w:sz w:val="36"/>
          <w:szCs w:val="36"/>
        </w:rPr>
        <w:t>项目名称：2017年基层农技推广体系改革与建设补助项目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Ansi="宋体" w:eastAsia="仿宋_GB2312" w:cs="宋体"/>
          <w:kern w:val="0"/>
          <w:sz w:val="36"/>
          <w:szCs w:val="36"/>
        </w:rPr>
        <w:t xml:space="preserve">    </w:t>
      </w:r>
      <w:r>
        <w:rPr>
          <w:rFonts w:hint="eastAsia" w:hAnsi="宋体" w:eastAsia="仿宋_GB2312" w:cs="宋体"/>
          <w:kern w:val="0"/>
          <w:sz w:val="36"/>
          <w:szCs w:val="36"/>
        </w:rPr>
        <w:t>实施单位（公章）：和静县农业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局</w:t>
      </w:r>
    </w:p>
    <w:p>
      <w:pPr>
        <w:spacing w:line="700" w:lineRule="exact"/>
        <w:ind w:firstLine="720" w:firstLineChars="2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主管部门（公章）：和静县农业局</w:t>
      </w:r>
    </w:p>
    <w:p>
      <w:pPr>
        <w:spacing w:line="700" w:lineRule="exact"/>
        <w:ind w:firstLine="720" w:firstLineChars="2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项目负责人（签章）：楼爱玲</w:t>
      </w:r>
    </w:p>
    <w:p>
      <w:pPr>
        <w:spacing w:line="700" w:lineRule="exact"/>
        <w:ind w:firstLine="720" w:firstLineChars="2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Ansi="宋体" w:eastAsia="仿宋_GB2312" w:cs="宋体"/>
          <w:kern w:val="0"/>
          <w:sz w:val="36"/>
          <w:szCs w:val="36"/>
        </w:rPr>
        <w:t xml:space="preserve">   2019 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Ansi="宋体" w:eastAsia="仿宋_GB2312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</w:t>
      </w:r>
      <w:r>
        <w:rPr>
          <w:rFonts w:hAnsi="宋体" w:eastAsia="仿宋_GB2312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6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spacing w:val="-4"/>
          <w:sz w:val="32"/>
          <w:szCs w:val="32"/>
        </w:rPr>
        <w:t>一、项目概况</w:t>
      </w:r>
    </w:p>
    <w:p>
      <w:pPr>
        <w:spacing w:line="56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widowControl/>
        <w:spacing w:line="560" w:lineRule="exact"/>
        <w:jc w:val="left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28"/>
          <w:szCs w:val="28"/>
        </w:rPr>
        <w:t>　</w:t>
      </w:r>
      <w:r>
        <w:rPr>
          <w:rFonts w:hint="eastAsia" w:ascii="仿宋" w:hAnsi="仿宋" w:eastAsia="仿宋" w:cs="方正仿宋_GBK"/>
          <w:kern w:val="0"/>
          <w:sz w:val="28"/>
          <w:szCs w:val="28"/>
        </w:rPr>
        <w:t>　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和静县已形成了以县农业技术推广站为平台，覆盖各乡镇的县、乡镇服务网络。现有农业科技服务机构</w:t>
      </w:r>
      <w:r>
        <w:rPr>
          <w:rStyle w:val="19"/>
          <w:rFonts w:ascii="仿宋" w:hAnsi="仿宋" w:eastAsia="仿宋"/>
          <w:b w:val="0"/>
          <w:spacing w:val="-4"/>
          <w:sz w:val="32"/>
          <w:szCs w:val="32"/>
        </w:rPr>
        <w:t>7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个，其中县级</w:t>
      </w:r>
      <w:r>
        <w:rPr>
          <w:rStyle w:val="19"/>
          <w:rFonts w:ascii="仿宋" w:hAnsi="仿宋" w:eastAsia="仿宋"/>
          <w:b w:val="0"/>
          <w:spacing w:val="-4"/>
          <w:sz w:val="32"/>
          <w:szCs w:val="32"/>
        </w:rPr>
        <w:t>1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个，乡镇级</w:t>
      </w:r>
      <w:r>
        <w:rPr>
          <w:rStyle w:val="19"/>
          <w:rFonts w:ascii="仿宋" w:hAnsi="仿宋" w:eastAsia="仿宋"/>
          <w:b w:val="0"/>
          <w:spacing w:val="-4"/>
          <w:sz w:val="32"/>
          <w:szCs w:val="32"/>
        </w:rPr>
        <w:t>6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个，共有人员</w:t>
      </w:r>
      <w:r>
        <w:rPr>
          <w:rStyle w:val="19"/>
          <w:rFonts w:ascii="仿宋" w:hAnsi="仿宋" w:eastAsia="仿宋"/>
          <w:b w:val="0"/>
          <w:spacing w:val="-4"/>
          <w:sz w:val="32"/>
          <w:szCs w:val="32"/>
        </w:rPr>
        <w:t>56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人，其中：取得农业推广研究员</w:t>
      </w:r>
      <w:r>
        <w:rPr>
          <w:rStyle w:val="19"/>
          <w:rFonts w:ascii="仿宋" w:hAnsi="仿宋" w:eastAsia="仿宋"/>
          <w:b w:val="0"/>
          <w:spacing w:val="-4"/>
          <w:sz w:val="32"/>
          <w:szCs w:val="32"/>
        </w:rPr>
        <w:t>7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人，高级农艺师</w:t>
      </w:r>
      <w:r>
        <w:rPr>
          <w:rStyle w:val="19"/>
          <w:rFonts w:ascii="仿宋" w:hAnsi="仿宋" w:eastAsia="仿宋"/>
          <w:b w:val="0"/>
          <w:spacing w:val="-4"/>
          <w:sz w:val="32"/>
          <w:szCs w:val="32"/>
        </w:rPr>
        <w:t>18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人，农艺师</w:t>
      </w:r>
      <w:r>
        <w:rPr>
          <w:rStyle w:val="19"/>
          <w:rFonts w:ascii="仿宋" w:hAnsi="仿宋" w:eastAsia="仿宋"/>
          <w:b w:val="0"/>
          <w:spacing w:val="-4"/>
          <w:sz w:val="32"/>
          <w:szCs w:val="32"/>
        </w:rPr>
        <w:t>16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人，助理农艺师</w:t>
      </w:r>
      <w:r>
        <w:rPr>
          <w:rStyle w:val="19"/>
          <w:rFonts w:ascii="仿宋" w:hAnsi="仿宋" w:eastAsia="仿宋"/>
          <w:b w:val="0"/>
          <w:spacing w:val="-4"/>
          <w:sz w:val="32"/>
          <w:szCs w:val="32"/>
        </w:rPr>
        <w:t>12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人，工勤人员</w:t>
      </w:r>
      <w:r>
        <w:rPr>
          <w:rStyle w:val="19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人。</w:t>
      </w:r>
      <w:r>
        <w:rPr>
          <w:rStyle w:val="19"/>
          <w:rFonts w:ascii="仿宋" w:hAnsi="仿宋" w:eastAsia="仿宋"/>
          <w:b w:val="0"/>
          <w:spacing w:val="-4"/>
          <w:sz w:val="32"/>
          <w:szCs w:val="32"/>
        </w:rPr>
        <w:t>2012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年全面实施岗位管理制度，实行按需设岗、竞聘上岗、按岗聘用、合同管理。</w:t>
      </w:r>
    </w:p>
    <w:p>
      <w:pPr>
        <w:spacing w:line="56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（二）项目预算绩效目标设定情况</w:t>
      </w:r>
    </w:p>
    <w:p>
      <w:pPr>
        <w:spacing w:line="540" w:lineRule="exact"/>
        <w:ind w:firstLine="564" w:firstLineChars="181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（包括预期目标及阶段性目标；项目基本性质、用途和主要内容、涉及范围）</w:t>
      </w:r>
    </w:p>
    <w:p>
      <w:pPr>
        <w:widowControl/>
        <w:spacing w:line="560" w:lineRule="exact"/>
        <w:ind w:firstLine="624" w:firstLineChars="200"/>
        <w:jc w:val="left"/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认真按照实施方案要求，及时做好补助项目资金落实。要高度重视农业科技服务人才在产业扶贫中的支撑作用，用好补助项目资金，抓好基层农技人员知识更新培训;要突出产业需求，用科技支撑特色优势产业发展，助力脱贫攻坚。</w:t>
      </w:r>
    </w:p>
    <w:p>
      <w:pPr>
        <w:widowControl/>
        <w:spacing w:line="560" w:lineRule="exact"/>
        <w:ind w:firstLine="624" w:firstLineChars="200"/>
        <w:jc w:val="left"/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完成健全基层农技推广体系,每和静县提升92人次以上基层农枝人员能力；建立健全不少于2个长期稳定的农业科技试验示范基地,提高服务质量和技术到位率；推广应用4种农业绿色高效技术模式。</w:t>
      </w:r>
    </w:p>
    <w:p>
      <w:pPr>
        <w:spacing w:line="56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spacing w:val="-4"/>
          <w:sz w:val="32"/>
          <w:szCs w:val="32"/>
        </w:rPr>
        <w:t>二、项目资金使用及管理情况</w:t>
      </w:r>
    </w:p>
    <w:p>
      <w:pPr>
        <w:spacing w:line="56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widowControl/>
        <w:spacing w:line="560" w:lineRule="exact"/>
        <w:ind w:firstLine="624" w:firstLineChars="200"/>
        <w:jc w:val="left"/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项目总资金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60.21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万元。于2018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年8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月由县财政局拨付到实施单位。</w:t>
      </w:r>
    </w:p>
    <w:p>
      <w:pPr>
        <w:widowControl/>
        <w:spacing w:line="560" w:lineRule="exact"/>
        <w:ind w:firstLine="624" w:firstLineChars="200"/>
        <w:jc w:val="left"/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2017年和静县基层农技推广体系建设与补助项目资金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60.21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万元，主要用于：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br w:type="textWrapping"/>
      </w:r>
      <w:r>
        <w:rPr>
          <w:rFonts w:ascii="仿宋" w:hAnsi="仿宋" w:eastAsia="仿宋"/>
          <w:sz w:val="28"/>
          <w:szCs w:val="28"/>
        </w:rPr>
        <w:t xml:space="preserve">   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（1）农业技术推广服务（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20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万元）。主要用于：一是基层农技人员上门指导服务农业科技示范主体、进村入户开展技术服务的补助（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5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万元）；二是支持社会化服务组织开展农业产前、产中、产后全程农技推广的补助费用（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5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万元）；三是聘请技术专家、技术资料印刷、制度建设、工作考评及宣传报道等费用（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6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万元）；四是支持基层农技人员安装使用中国农技推广APP等信息化手段开展推广服务的流量补助（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4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万元）。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 xml:space="preserve">   （2）农业科技示范（13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.21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万元）。主要用于：一是农业科技示范基地建设，支持农技人员依托基地开展集成示范、推广应用、教育培训及基地规范运行等相关活动。包括土地流转（租赁）、开展示范展示、观摩培训等活动补贴，购买农药、化肥、种子、示范设施装备等物资投入补助（6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.21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万元）；二是农业科技示范主体培育。对示范主体开展指导服务、技术培训的费用及物化补贴（4万元）。三是农业主推技术遴选、推介和推广应用补助（3万元）。</w:t>
      </w:r>
    </w:p>
    <w:p>
      <w:pPr>
        <w:widowControl/>
        <w:spacing w:line="560" w:lineRule="exact"/>
        <w:ind w:firstLine="624" w:firstLineChars="200"/>
        <w:jc w:val="left"/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（3）示范推广农业优质绿色高效技术（1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5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万元）。支持各项目开展绿色高效技术示范推广技术5项。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 xml:space="preserve">   （4）基层农技人员能力建设（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12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万元）。农技人员知识更新培训补贴，含农技推广骨干人才、农技人员异地培训、县级集中培训和现场实训实操等与培训有关的费用。</w:t>
      </w:r>
    </w:p>
    <w:p>
      <w:pPr>
        <w:spacing w:line="56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widowControl/>
        <w:spacing w:line="560" w:lineRule="exact"/>
        <w:ind w:firstLine="624" w:firstLineChars="200"/>
        <w:jc w:val="left"/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（主要是指财政资金）</w:t>
      </w:r>
    </w:p>
    <w:p>
      <w:pPr>
        <w:widowControl/>
        <w:spacing w:line="560" w:lineRule="exact"/>
        <w:ind w:firstLine="624" w:firstLineChars="200"/>
        <w:jc w:val="left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　项目资金共计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60.21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万元，目前已使用。1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、付科技示范户和示范基地物化补助资金13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2100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元。2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、付宣传资料印刷费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5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1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7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0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元、技术人员差旅费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4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260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元（参观学习）。3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、付技术人员差旅费（参观学习）、培训办公用品费、网络设备、专家咨询费、印刷品费用登12.6808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万元。4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、付培训用品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13015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元，优秀科技指导员、科技示范户奖励15750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元。5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、付办公用品费（培训用）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1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7552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元，付培训餐费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26345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元，付车辆运行费用64690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元，付技术人员差旅费（参观学习）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6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410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元。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6、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示范推广农业优质绿色高效技术1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50000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元。支持各项目开展绿色高效技术示范推广技术5项。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7、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是支持基层农技人员安装使用中国农技推广APP等信息化手段开展推广服务的流量补助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40000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元。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br w:type="textWrapping"/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widowControl/>
        <w:spacing w:line="560" w:lineRule="exact"/>
        <w:ind w:firstLine="624" w:firstLineChars="200"/>
        <w:jc w:val="left"/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加强对补助资金使用与监督管理，通过建立相关管理制度，规范资金使用方向，细化支出范围，明确补助资金严禁用于发工资，确保专款专用，严禁截留挪用资金。项目资金的使用全面实行公开、公示制度，保证项目运作和资金使用的公开、公正、透明，做到专款专用。</w:t>
      </w:r>
    </w:p>
    <w:p>
      <w:pPr>
        <w:spacing w:line="56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spacing w:val="-4"/>
          <w:sz w:val="32"/>
          <w:szCs w:val="32"/>
        </w:rPr>
        <w:t>三、项目组织实施情况</w:t>
      </w:r>
    </w:p>
    <w:p>
      <w:pPr>
        <w:spacing w:line="56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widowControl/>
        <w:spacing w:line="560" w:lineRule="exact"/>
        <w:ind w:firstLine="624" w:firstLineChars="200"/>
        <w:jc w:val="left"/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本项目属于自行采购项目，也没有进行项目投标活动，根据年预估情况，基本达到预期的种植面积，中间也没进行过任何调整，年底完成了自治区的相关验收。</w:t>
      </w:r>
    </w:p>
    <w:p>
      <w:pPr>
        <w:spacing w:line="56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widowControl/>
        <w:spacing w:line="560" w:lineRule="exact"/>
        <w:ind w:firstLine="640" w:firstLineChars="200"/>
        <w:jc w:val="left"/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方正仿宋_GBK" w:hAnsi="Arial" w:eastAsia="方正仿宋_GBK" w:cs="Arial"/>
          <w:sz w:val="32"/>
          <w:szCs w:val="32"/>
        </w:rPr>
        <w:t>　</w:t>
      </w:r>
      <w:r>
        <w:rPr>
          <w:rFonts w:hint="eastAsia" w:ascii="仿宋" w:hAnsi="仿宋" w:eastAsia="仿宋" w:cs="Arial"/>
          <w:sz w:val="32"/>
          <w:szCs w:val="32"/>
        </w:rPr>
        <w:t>　</w:t>
      </w: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为保证项目的顺利实施并按期完成，成立项目实施领导小组和技术服务组。</w:t>
      </w:r>
    </w:p>
    <w:p>
      <w:pPr>
        <w:widowControl/>
        <w:spacing w:line="560" w:lineRule="exact"/>
        <w:ind w:firstLine="624" w:firstLineChars="200"/>
        <w:jc w:val="left"/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　　项目领导小组的主要职责是：统一负责项目工作的组织实施，协调各方的关系，加强项目资金管理，确保项目的顺利实施。</w:t>
      </w:r>
    </w:p>
    <w:p>
      <w:pPr>
        <w:widowControl/>
        <w:spacing w:line="560" w:lineRule="exact"/>
        <w:ind w:firstLine="624" w:firstLineChars="200"/>
        <w:jc w:val="left"/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　　技术服务小组的主要职责是：具体负责技术指导、培训等工作，及时了解、解决项目实施中的新问题。及制定方案，开展技术培训，编印技术资料，组织项目示范推广，提交示范推广技术报告、项目工作总结等工作。</w:t>
      </w:r>
    </w:p>
    <w:p>
      <w:pPr>
        <w:widowControl/>
        <w:spacing w:line="560" w:lineRule="exact"/>
        <w:ind w:firstLine="624" w:firstLineChars="200"/>
        <w:jc w:val="left"/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　　四、项目绩效情况</w:t>
      </w:r>
    </w:p>
    <w:p>
      <w:pPr>
        <w:spacing w:line="56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widowControl/>
        <w:spacing w:line="560" w:lineRule="exact"/>
        <w:ind w:firstLine="624" w:firstLineChars="200"/>
        <w:jc w:val="left"/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项目完成实施方案制定，成立项目领导小组。根据项目实施方案，完成200户科技示范主体遴选，根据和静县基本情况，因地制宜地选择4个绿色高效技术，按要求推进农技推广信息化建设。结合农牧民大讲堂，逐村开展农业实用技术培训、农业相关政策宣传、农业法律法规宣传。</w:t>
      </w:r>
    </w:p>
    <w:p>
      <w:pPr>
        <w:spacing w:line="540" w:lineRule="exact"/>
        <w:ind w:firstLine="470" w:firstLineChars="15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widowControl/>
        <w:spacing w:line="560" w:lineRule="exact"/>
        <w:ind w:firstLine="624" w:firstLineChars="200"/>
        <w:jc w:val="left"/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（如项目绩效目标已完成，可不用填写该部分。）</w:t>
      </w:r>
    </w:p>
    <w:p>
      <w:pPr>
        <w:widowControl/>
        <w:spacing w:line="560" w:lineRule="exact"/>
        <w:ind w:firstLine="624" w:firstLineChars="200"/>
        <w:jc w:val="left"/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</w:pPr>
    </w:p>
    <w:p>
      <w:pPr>
        <w:spacing w:line="56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spacing w:val="-4"/>
          <w:sz w:val="32"/>
          <w:szCs w:val="32"/>
        </w:rPr>
        <w:t>五、其他需要说明的问题</w:t>
      </w:r>
    </w:p>
    <w:p>
      <w:pPr>
        <w:spacing w:line="56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60" w:lineRule="exact"/>
        <w:ind w:firstLine="624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通过项目实施，以支撑质量兴农、效益兴农、绿色兴农和推进农业供给侧结构性改革为主线，以提高农技推广服务供给的质量和效率为主攻方向，统筹兼顾新型农业经营主体和小农户的服务需求，坚持深化改革增活力、创新机制提效能，培育精干专业推广队伍，打造科技示范服务平台，推广优质绿色高效技术模式，为实施乡村振兴战略、加快农业农村现代化步伐、决胜全面建成小康社会提供强有力的科技支撑和人才保障。</w:t>
      </w:r>
    </w:p>
    <w:p>
      <w:pPr>
        <w:spacing w:line="56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widowControl/>
        <w:spacing w:line="560" w:lineRule="exact"/>
        <w:ind w:firstLine="624" w:firstLineChars="200"/>
        <w:jc w:val="left"/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主要经验及做法</w:t>
      </w:r>
    </w:p>
    <w:p>
      <w:pPr>
        <w:widowControl/>
        <w:spacing w:line="560" w:lineRule="exact"/>
        <w:ind w:firstLine="624" w:firstLineChars="200"/>
        <w:jc w:val="left"/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（1）通过提升农技人员业务水平、建立示范基地、培育科技示范主体、开展农业科技培训等措施，加大推广良种、良法，最大程度实现增加单产，达到节本增效。</w:t>
      </w:r>
    </w:p>
    <w:p>
      <w:pPr>
        <w:widowControl/>
        <w:spacing w:line="560" w:lineRule="exact"/>
        <w:ind w:firstLine="624" w:firstLineChars="200"/>
        <w:jc w:val="left"/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（2）计划开展农技人员培训满意度调查，培育主体满意度调查，调查覆盖率100%。</w:t>
      </w:r>
    </w:p>
    <w:p>
      <w:pPr>
        <w:widowControl/>
        <w:spacing w:line="560" w:lineRule="exact"/>
        <w:ind w:firstLine="624" w:firstLineChars="200"/>
        <w:jc w:val="left"/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（3）通过因地制宜地选择5个以上的绿色高效技术，促进农业优势特色产业发展的质量安全、节本增效、生态环保的优质绿色高效技术模式广泛应用于农业生产，农业主推技术到位率超过95%，有效减少农药、化肥使用量。</w:t>
      </w:r>
    </w:p>
    <w:p>
      <w:pPr>
        <w:spacing w:line="56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60" w:lineRule="exact"/>
        <w:ind w:firstLine="876" w:firstLineChars="281"/>
        <w:rPr>
          <w:rFonts w:ascii="楷体" w:hAnsi="楷体" w:eastAsia="楷体"/>
          <w:spacing w:val="-4"/>
          <w:sz w:val="32"/>
          <w:szCs w:val="32"/>
        </w:rPr>
      </w:pPr>
      <w:r>
        <w:rPr>
          <w:rFonts w:hint="eastAsia" w:ascii="楷体" w:hAnsi="楷体" w:eastAsia="楷体"/>
          <w:spacing w:val="-4"/>
          <w:sz w:val="32"/>
          <w:szCs w:val="32"/>
        </w:rPr>
        <w:t>无</w:t>
      </w:r>
    </w:p>
    <w:p>
      <w:pPr>
        <w:spacing w:line="560" w:lineRule="exact"/>
        <w:ind w:firstLine="640"/>
        <w:rPr>
          <w:rStyle w:val="19"/>
          <w:rFonts w:ascii="黑体" w:hAnsi="黑体" w:eastAsia="黑体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spacing w:val="-4"/>
          <w:sz w:val="32"/>
          <w:szCs w:val="32"/>
        </w:rPr>
        <w:t>六、项目评价工作情况</w:t>
      </w:r>
    </w:p>
    <w:p>
      <w:pPr>
        <w:widowControl/>
        <w:spacing w:line="560" w:lineRule="exact"/>
        <w:ind w:firstLine="624" w:firstLineChars="200"/>
        <w:jc w:val="left"/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</w:pPr>
      <w:bookmarkStart w:id="0" w:name="_GoBack"/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提升农技人员业务水平、建立示范基地、培育科技示范主体、开展农业科技培训等措施，加大推广良种、良法，最大程度实现增加单产，达到节本增效。因地制宜地选择5个以上的绿色高效技术，促进农业优势特色产业发展的质量安全、节本增效、生态环保的优质绿色高效技术模式广泛应用于农业生产，农业主推技术到位率超过95%，有效减少农药、化肥使用量。</w:t>
      </w:r>
    </w:p>
    <w:bookmarkEnd w:id="0"/>
    <w:p>
      <w:pPr>
        <w:spacing w:line="56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spacing w:val="-4"/>
          <w:sz w:val="32"/>
          <w:szCs w:val="32"/>
        </w:rPr>
        <w:t>七、附表</w:t>
      </w:r>
    </w:p>
    <w:p>
      <w:pPr>
        <w:spacing w:line="560" w:lineRule="exact"/>
        <w:ind w:firstLine="567"/>
        <w:rPr>
          <w:rFonts w:ascii="方正仿宋_GBK" w:hAnsi="Arial" w:eastAsia="方正仿宋_GBK" w:cs="Arial"/>
          <w:color w:val="000000"/>
          <w:sz w:val="32"/>
          <w:szCs w:val="32"/>
        </w:rPr>
      </w:pPr>
      <w:r>
        <w:rPr>
          <w:rFonts w:hint="eastAsia" w:ascii="方正仿宋_GBK" w:hAnsi="Arial" w:eastAsia="方正仿宋_GBK" w:cs="Arial"/>
          <w:bCs/>
          <w:color w:val="000000"/>
        </w:rPr>
        <w:t>《</w:t>
      </w:r>
      <w:r>
        <w:rPr>
          <w:rFonts w:hint="eastAsia" w:ascii="方正仿宋_GBK" w:hAnsi="Arial" w:eastAsia="方正仿宋_GBK" w:cs="Arial"/>
          <w:color w:val="000000"/>
          <w:sz w:val="32"/>
          <w:szCs w:val="32"/>
        </w:rPr>
        <w:t>项目支出绩效自评表》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6457"/>
    <w:rsid w:val="0001174F"/>
    <w:rsid w:val="00025F77"/>
    <w:rsid w:val="00026287"/>
    <w:rsid w:val="00056465"/>
    <w:rsid w:val="00063BD1"/>
    <w:rsid w:val="00087D29"/>
    <w:rsid w:val="000A076A"/>
    <w:rsid w:val="000A2D45"/>
    <w:rsid w:val="000B4650"/>
    <w:rsid w:val="000B5B74"/>
    <w:rsid w:val="000C0222"/>
    <w:rsid w:val="000F5668"/>
    <w:rsid w:val="00121AE4"/>
    <w:rsid w:val="001449FC"/>
    <w:rsid w:val="00146AAD"/>
    <w:rsid w:val="00160614"/>
    <w:rsid w:val="0017000B"/>
    <w:rsid w:val="001A26CE"/>
    <w:rsid w:val="001B3A40"/>
    <w:rsid w:val="001E19DC"/>
    <w:rsid w:val="001F6AEF"/>
    <w:rsid w:val="00234BAE"/>
    <w:rsid w:val="00247DBE"/>
    <w:rsid w:val="00256B89"/>
    <w:rsid w:val="002574E5"/>
    <w:rsid w:val="00305C07"/>
    <w:rsid w:val="0034431B"/>
    <w:rsid w:val="00351BCB"/>
    <w:rsid w:val="003531D9"/>
    <w:rsid w:val="00383EED"/>
    <w:rsid w:val="003908B7"/>
    <w:rsid w:val="003A0B26"/>
    <w:rsid w:val="003B12E3"/>
    <w:rsid w:val="003D6F5C"/>
    <w:rsid w:val="003E7A9D"/>
    <w:rsid w:val="004211AA"/>
    <w:rsid w:val="004366A8"/>
    <w:rsid w:val="0047373F"/>
    <w:rsid w:val="004D77F3"/>
    <w:rsid w:val="004E1762"/>
    <w:rsid w:val="00502BA7"/>
    <w:rsid w:val="005162F1"/>
    <w:rsid w:val="00535153"/>
    <w:rsid w:val="005541C5"/>
    <w:rsid w:val="00554F82"/>
    <w:rsid w:val="0056390D"/>
    <w:rsid w:val="005719B0"/>
    <w:rsid w:val="005A3032"/>
    <w:rsid w:val="005A77DC"/>
    <w:rsid w:val="005C5B22"/>
    <w:rsid w:val="005D10D6"/>
    <w:rsid w:val="005E61EF"/>
    <w:rsid w:val="005F6FD5"/>
    <w:rsid w:val="006A1262"/>
    <w:rsid w:val="006A1C93"/>
    <w:rsid w:val="006A1D5D"/>
    <w:rsid w:val="006A4A75"/>
    <w:rsid w:val="006E6BB4"/>
    <w:rsid w:val="007744A8"/>
    <w:rsid w:val="007745FD"/>
    <w:rsid w:val="00777494"/>
    <w:rsid w:val="007C4008"/>
    <w:rsid w:val="007F0610"/>
    <w:rsid w:val="007F14BC"/>
    <w:rsid w:val="00855E3A"/>
    <w:rsid w:val="00856864"/>
    <w:rsid w:val="00895A73"/>
    <w:rsid w:val="008C6049"/>
    <w:rsid w:val="0091072A"/>
    <w:rsid w:val="00922CB9"/>
    <w:rsid w:val="00936D35"/>
    <w:rsid w:val="00937ECE"/>
    <w:rsid w:val="009551E4"/>
    <w:rsid w:val="009A126A"/>
    <w:rsid w:val="009C7539"/>
    <w:rsid w:val="009E5CD9"/>
    <w:rsid w:val="00A00B3F"/>
    <w:rsid w:val="00A26421"/>
    <w:rsid w:val="00A32AA6"/>
    <w:rsid w:val="00A4293B"/>
    <w:rsid w:val="00A67D50"/>
    <w:rsid w:val="00A8691A"/>
    <w:rsid w:val="00AA6FCE"/>
    <w:rsid w:val="00AC1946"/>
    <w:rsid w:val="00AC4DFD"/>
    <w:rsid w:val="00AE0122"/>
    <w:rsid w:val="00AE4AC7"/>
    <w:rsid w:val="00AF70F3"/>
    <w:rsid w:val="00B20EA9"/>
    <w:rsid w:val="00B40063"/>
    <w:rsid w:val="00B41F61"/>
    <w:rsid w:val="00B91B96"/>
    <w:rsid w:val="00BA46E6"/>
    <w:rsid w:val="00C250D6"/>
    <w:rsid w:val="00C411D6"/>
    <w:rsid w:val="00C56C72"/>
    <w:rsid w:val="00C75BF3"/>
    <w:rsid w:val="00C83458"/>
    <w:rsid w:val="00CA6457"/>
    <w:rsid w:val="00CF44C1"/>
    <w:rsid w:val="00D17F2E"/>
    <w:rsid w:val="00D30354"/>
    <w:rsid w:val="00D43AEA"/>
    <w:rsid w:val="00D45B24"/>
    <w:rsid w:val="00D463EC"/>
    <w:rsid w:val="00D477B9"/>
    <w:rsid w:val="00D62CDF"/>
    <w:rsid w:val="00DD1557"/>
    <w:rsid w:val="00DD762C"/>
    <w:rsid w:val="00DF42A0"/>
    <w:rsid w:val="00E077F3"/>
    <w:rsid w:val="00E12CA4"/>
    <w:rsid w:val="00E17C07"/>
    <w:rsid w:val="00E769FE"/>
    <w:rsid w:val="00E85C2A"/>
    <w:rsid w:val="00E93322"/>
    <w:rsid w:val="00EA2CBE"/>
    <w:rsid w:val="00F32FEE"/>
    <w:rsid w:val="00F5285A"/>
    <w:rsid w:val="00F66506"/>
    <w:rsid w:val="00FB10BB"/>
    <w:rsid w:val="00FC0C45"/>
    <w:rsid w:val="00FC5149"/>
    <w:rsid w:val="04CE5365"/>
    <w:rsid w:val="070F3A1F"/>
    <w:rsid w:val="090E34D5"/>
    <w:rsid w:val="10FB069E"/>
    <w:rsid w:val="16B83B09"/>
    <w:rsid w:val="193B2CA6"/>
    <w:rsid w:val="1A916022"/>
    <w:rsid w:val="1CEA5AD6"/>
    <w:rsid w:val="20101A39"/>
    <w:rsid w:val="20BC7853"/>
    <w:rsid w:val="238E7A82"/>
    <w:rsid w:val="26F26462"/>
    <w:rsid w:val="2CAF0249"/>
    <w:rsid w:val="2F7257A9"/>
    <w:rsid w:val="31660AB5"/>
    <w:rsid w:val="3A4E4C2F"/>
    <w:rsid w:val="3D647CE3"/>
    <w:rsid w:val="466B31AB"/>
    <w:rsid w:val="46A67A04"/>
    <w:rsid w:val="4A6A299A"/>
    <w:rsid w:val="4AB97BDE"/>
    <w:rsid w:val="4BC4125C"/>
    <w:rsid w:val="5227505C"/>
    <w:rsid w:val="57863644"/>
    <w:rsid w:val="5814774D"/>
    <w:rsid w:val="5B3A7023"/>
    <w:rsid w:val="5DA854A4"/>
    <w:rsid w:val="5DD77E67"/>
    <w:rsid w:val="5FFD7739"/>
    <w:rsid w:val="60B34D85"/>
    <w:rsid w:val="64D51E08"/>
    <w:rsid w:val="6BE82F4E"/>
    <w:rsid w:val="6CE32FCC"/>
    <w:rsid w:val="6F173D86"/>
    <w:rsid w:val="72195D20"/>
    <w:rsid w:val="72DF3141"/>
    <w:rsid w:val="76B93DCC"/>
    <w:rsid w:val="7714650D"/>
    <w:rsid w:val="798A548C"/>
    <w:rsid w:val="7998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qFormat="1" w:unhideWhenUsed="0" w:uiPriority="99" w:semiHidden="0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qFormat/>
    <w:uiPriority w:val="9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qFormat/>
    <w:uiPriority w:val="9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qFormat/>
    <w:uiPriority w:val="9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9">
    <w:name w:val="heading 8"/>
    <w:basedOn w:val="1"/>
    <w:next w:val="1"/>
    <w:link w:val="28"/>
    <w:qFormat/>
    <w:uiPriority w:val="9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0">
    <w:name w:val="heading 9"/>
    <w:basedOn w:val="1"/>
    <w:next w:val="1"/>
    <w:link w:val="29"/>
    <w:qFormat/>
    <w:uiPriority w:val="9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18">
    <w:name w:val="Default Paragraph Font"/>
    <w:semiHidden/>
    <w:qFormat/>
    <w:uiPriority w:val="99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48"/>
    <w:qFormat/>
    <w:locked/>
    <w:uiPriority w:val="99"/>
    <w:rPr>
      <w:rFonts w:ascii="宋体" w:hAnsi="Courier New"/>
      <w:szCs w:val="20"/>
    </w:rPr>
  </w:style>
  <w:style w:type="paragraph" w:styleId="12">
    <w:name w:val="Balloon Text"/>
    <w:basedOn w:val="1"/>
    <w:link w:val="46"/>
    <w:semiHidden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99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6">
    <w:name w:val="Title"/>
    <w:basedOn w:val="1"/>
    <w:next w:val="1"/>
    <w:link w:val="30"/>
    <w:qFormat/>
    <w:uiPriority w:val="9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99"/>
    <w:rPr>
      <w:rFonts w:cs="Times New Roman"/>
      <w:b/>
      <w:bCs/>
    </w:rPr>
  </w:style>
  <w:style w:type="character" w:styleId="20">
    <w:name w:val="Emphasis"/>
    <w:basedOn w:val="18"/>
    <w:qFormat/>
    <w:uiPriority w:val="99"/>
    <w:rPr>
      <w:rFonts w:ascii="Calibri" w:hAnsi="Calibri" w:cs="Times New Roman"/>
      <w:b/>
      <w:i/>
      <w:iCs/>
    </w:rPr>
  </w:style>
  <w:style w:type="character" w:customStyle="1" w:styleId="21">
    <w:name w:val="Heading 1 Char"/>
    <w:basedOn w:val="18"/>
    <w:link w:val="2"/>
    <w:qFormat/>
    <w:locked/>
    <w:uiPriority w:val="99"/>
    <w:rPr>
      <w:rFonts w:ascii="Cambria" w:hAnsi="Cambria" w:eastAsia="宋体" w:cs="Times New Roman"/>
      <w:b/>
      <w:bCs/>
      <w:kern w:val="32"/>
      <w:sz w:val="32"/>
      <w:szCs w:val="32"/>
    </w:rPr>
  </w:style>
  <w:style w:type="character" w:customStyle="1" w:styleId="22">
    <w:name w:val="Heading 2 Char"/>
    <w:basedOn w:val="18"/>
    <w:link w:val="3"/>
    <w:semiHidden/>
    <w:qFormat/>
    <w:locked/>
    <w:uiPriority w:val="99"/>
    <w:rPr>
      <w:rFonts w:ascii="Cambria" w:hAnsi="Cambria" w:eastAsia="宋体" w:cs="Times New Roman"/>
      <w:b/>
      <w:bCs/>
      <w:i/>
      <w:iCs/>
      <w:sz w:val="28"/>
      <w:szCs w:val="28"/>
    </w:rPr>
  </w:style>
  <w:style w:type="character" w:customStyle="1" w:styleId="23">
    <w:name w:val="Heading 3 Char"/>
    <w:basedOn w:val="18"/>
    <w:link w:val="4"/>
    <w:semiHidden/>
    <w:qFormat/>
    <w:locked/>
    <w:uiPriority w:val="99"/>
    <w:rPr>
      <w:rFonts w:ascii="Cambria" w:hAnsi="Cambria" w:eastAsia="宋体" w:cs="Times New Roman"/>
      <w:b/>
      <w:bCs/>
      <w:sz w:val="26"/>
      <w:szCs w:val="26"/>
    </w:rPr>
  </w:style>
  <w:style w:type="character" w:customStyle="1" w:styleId="24">
    <w:name w:val="Heading 4 Char"/>
    <w:basedOn w:val="18"/>
    <w:link w:val="5"/>
    <w:semiHidden/>
    <w:qFormat/>
    <w:locked/>
    <w:uiPriority w:val="99"/>
    <w:rPr>
      <w:rFonts w:cs="Times New Roman"/>
      <w:b/>
      <w:bCs/>
      <w:sz w:val="28"/>
      <w:szCs w:val="28"/>
    </w:rPr>
  </w:style>
  <w:style w:type="character" w:customStyle="1" w:styleId="25">
    <w:name w:val="Heading 5 Char"/>
    <w:basedOn w:val="18"/>
    <w:link w:val="6"/>
    <w:semiHidden/>
    <w:qFormat/>
    <w:locked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26">
    <w:name w:val="Heading 6 Char"/>
    <w:basedOn w:val="18"/>
    <w:link w:val="7"/>
    <w:semiHidden/>
    <w:qFormat/>
    <w:locked/>
    <w:uiPriority w:val="99"/>
    <w:rPr>
      <w:rFonts w:cs="Times New Roman"/>
      <w:b/>
      <w:bCs/>
    </w:rPr>
  </w:style>
  <w:style w:type="character" w:customStyle="1" w:styleId="27">
    <w:name w:val="Heading 7 Char"/>
    <w:basedOn w:val="18"/>
    <w:link w:val="8"/>
    <w:semiHidden/>
    <w:qFormat/>
    <w:locked/>
    <w:uiPriority w:val="99"/>
    <w:rPr>
      <w:rFonts w:cs="Times New Roman"/>
      <w:sz w:val="24"/>
      <w:szCs w:val="24"/>
    </w:rPr>
  </w:style>
  <w:style w:type="character" w:customStyle="1" w:styleId="28">
    <w:name w:val="Heading 8 Char"/>
    <w:basedOn w:val="18"/>
    <w:link w:val="9"/>
    <w:semiHidden/>
    <w:qFormat/>
    <w:locked/>
    <w:uiPriority w:val="99"/>
    <w:rPr>
      <w:rFonts w:cs="Times New Roman"/>
      <w:i/>
      <w:iCs/>
      <w:sz w:val="24"/>
      <w:szCs w:val="24"/>
    </w:rPr>
  </w:style>
  <w:style w:type="character" w:customStyle="1" w:styleId="29">
    <w:name w:val="Heading 9 Char"/>
    <w:basedOn w:val="18"/>
    <w:link w:val="10"/>
    <w:semiHidden/>
    <w:qFormat/>
    <w:locked/>
    <w:uiPriority w:val="99"/>
    <w:rPr>
      <w:rFonts w:ascii="Cambria" w:hAnsi="Cambria" w:eastAsia="宋体" w:cs="Times New Roman"/>
    </w:rPr>
  </w:style>
  <w:style w:type="character" w:customStyle="1" w:styleId="30">
    <w:name w:val="Title Char"/>
    <w:basedOn w:val="18"/>
    <w:link w:val="16"/>
    <w:qFormat/>
    <w:locked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31">
    <w:name w:val="Subtitle Char"/>
    <w:basedOn w:val="18"/>
    <w:link w:val="15"/>
    <w:qFormat/>
    <w:locked/>
    <w:uiPriority w:val="99"/>
    <w:rPr>
      <w:rFonts w:ascii="Cambria" w:hAnsi="Cambria" w:eastAsia="宋体" w:cs="Times New Roman"/>
      <w:sz w:val="24"/>
      <w:szCs w:val="24"/>
    </w:rPr>
  </w:style>
  <w:style w:type="paragraph" w:styleId="32">
    <w:name w:val="No Spacing"/>
    <w:basedOn w:val="1"/>
    <w:qFormat/>
    <w:uiPriority w:val="99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33">
    <w:name w:val="List Paragraph"/>
    <w:basedOn w:val="1"/>
    <w:qFormat/>
    <w:uiPriority w:val="99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34">
    <w:name w:val="Quote"/>
    <w:basedOn w:val="1"/>
    <w:next w:val="1"/>
    <w:link w:val="35"/>
    <w:qFormat/>
    <w:uiPriority w:val="99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35">
    <w:name w:val="Quote Char"/>
    <w:basedOn w:val="18"/>
    <w:link w:val="34"/>
    <w:qFormat/>
    <w:locked/>
    <w:uiPriority w:val="99"/>
    <w:rPr>
      <w:rFonts w:cs="Times New Roman"/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99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37">
    <w:name w:val="Intense Quote Char"/>
    <w:basedOn w:val="18"/>
    <w:link w:val="36"/>
    <w:qFormat/>
    <w:locked/>
    <w:uiPriority w:val="99"/>
    <w:rPr>
      <w:rFonts w:cs="Times New Roman"/>
      <w:b/>
      <w:i/>
      <w:sz w:val="24"/>
    </w:rPr>
  </w:style>
  <w:style w:type="character" w:customStyle="1" w:styleId="38">
    <w:name w:val="Subtle Emphasis"/>
    <w:basedOn w:val="18"/>
    <w:qFormat/>
    <w:uiPriority w:val="99"/>
    <w:rPr>
      <w:rFonts w:cs="Times New Roman"/>
      <w:i/>
      <w:color w:val="5A5A5A"/>
    </w:rPr>
  </w:style>
  <w:style w:type="character" w:customStyle="1" w:styleId="39">
    <w:name w:val="Intense Emphasis"/>
    <w:basedOn w:val="18"/>
    <w:qFormat/>
    <w:uiPriority w:val="99"/>
    <w:rPr>
      <w:rFonts w:cs="Times New Roman"/>
      <w:b/>
      <w:i/>
      <w:sz w:val="24"/>
      <w:szCs w:val="24"/>
      <w:u w:val="single"/>
    </w:rPr>
  </w:style>
  <w:style w:type="character" w:customStyle="1" w:styleId="40">
    <w:name w:val="Subtle Reference"/>
    <w:basedOn w:val="18"/>
    <w:qFormat/>
    <w:uiPriority w:val="99"/>
    <w:rPr>
      <w:rFonts w:cs="Times New Roman"/>
      <w:sz w:val="24"/>
      <w:szCs w:val="24"/>
      <w:u w:val="single"/>
    </w:rPr>
  </w:style>
  <w:style w:type="character" w:customStyle="1" w:styleId="41">
    <w:name w:val="Intense Reference"/>
    <w:basedOn w:val="18"/>
    <w:qFormat/>
    <w:uiPriority w:val="99"/>
    <w:rPr>
      <w:rFonts w:cs="Times New Roman"/>
      <w:b/>
      <w:sz w:val="24"/>
      <w:u w:val="single"/>
    </w:rPr>
  </w:style>
  <w:style w:type="character" w:customStyle="1" w:styleId="42">
    <w:name w:val="Book Title"/>
    <w:basedOn w:val="18"/>
    <w:qFormat/>
    <w:uiPriority w:val="99"/>
    <w:rPr>
      <w:rFonts w:ascii="Cambria" w:hAnsi="Cambria" w:eastAsia="宋体" w:cs="Times New Roman"/>
      <w:b/>
      <w:i/>
      <w:sz w:val="24"/>
      <w:szCs w:val="24"/>
    </w:rPr>
  </w:style>
  <w:style w:type="paragraph" w:customStyle="1" w:styleId="43">
    <w:name w:val="TOC Heading"/>
    <w:basedOn w:val="2"/>
    <w:next w:val="1"/>
    <w:qFormat/>
    <w:uiPriority w:val="99"/>
    <w:pPr>
      <w:outlineLvl w:val="9"/>
    </w:pPr>
    <w:rPr>
      <w:lang w:eastAsia="en-US"/>
    </w:rPr>
  </w:style>
  <w:style w:type="character" w:customStyle="1" w:styleId="44">
    <w:name w:val="Header Char"/>
    <w:basedOn w:val="18"/>
    <w:link w:val="14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45">
    <w:name w:val="Footer Char"/>
    <w:basedOn w:val="18"/>
    <w:link w:val="1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46">
    <w:name w:val="Balloon Text Char"/>
    <w:basedOn w:val="18"/>
    <w:link w:val="12"/>
    <w:semiHidden/>
    <w:qFormat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47">
    <w:name w:val="Plain Text Char"/>
    <w:basedOn w:val="18"/>
    <w:link w:val="11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48">
    <w:name w:val="Plain Text Char1"/>
    <w:basedOn w:val="18"/>
    <w:link w:val="11"/>
    <w:qFormat/>
    <w:locked/>
    <w:uiPriority w:val="99"/>
    <w:rPr>
      <w:rFonts w:ascii="宋体" w:hAnsi="Courier New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442</Words>
  <Characters>2520</Characters>
  <Lines>0</Lines>
  <Paragraphs>0</Paragraphs>
  <TotalTime>21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ʀᴇsᴛ</cp:lastModifiedBy>
  <cp:lastPrinted>2018-12-31T10:56:00Z</cp:lastPrinted>
  <dcterms:modified xsi:type="dcterms:W3CDTF">2020-04-04T13:54:43Z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