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320" w:firstLineChars="100"/>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新疆维吾尔自治区巴州和静县农业农村局财政项目支出绩效自评报告</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仿宋_GBK" w:hAnsi="方正仿宋_GBK" w:eastAsia="方正仿宋_GBK" w:cs="方正仿宋_GBK"/>
          <w:b/>
          <w:bCs/>
          <w:kern w:val="0"/>
          <w:sz w:val="36"/>
          <w:szCs w:val="36"/>
        </w:rPr>
      </w:pPr>
      <w:r>
        <w:rPr>
          <w:rFonts w:hint="eastAsia" w:ascii="方正仿宋_GBK" w:hAnsi="方正仿宋_GBK" w:eastAsia="方正仿宋_GBK" w:cs="方正仿宋_GBK"/>
          <w:b/>
          <w:bCs/>
          <w:kern w:val="0"/>
          <w:sz w:val="36"/>
          <w:szCs w:val="36"/>
        </w:rPr>
        <w:t>（2018年度）</w:t>
      </w:r>
    </w:p>
    <w:p>
      <w:pPr>
        <w:spacing w:line="540" w:lineRule="exact"/>
        <w:rPr>
          <w:rFonts w:ascii="方正仿宋_GBK" w:hAnsi="方正仿宋_GBK" w:eastAsia="方正仿宋_GBK" w:cs="方正仿宋_GBK"/>
          <w:b/>
          <w:bCs/>
          <w:kern w:val="0"/>
          <w:sz w:val="30"/>
          <w:szCs w:val="30"/>
        </w:rPr>
      </w:pP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项目名称：农村公益事业--大规模大型性农村沼气工程建设项目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实施单位（公章）：和静县农业局</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主管部门（公章）：和静县农业局</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项目负责人（签章）：楼爱玲</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填报时间：2019年1月23日</w:t>
      </w:r>
    </w:p>
    <w:p>
      <w:pPr>
        <w:spacing w:line="540" w:lineRule="exact"/>
        <w:jc w:val="center"/>
        <w:rPr>
          <w:rFonts w:ascii="方正仿宋_GBK" w:hAnsi="方正仿宋_GBK" w:eastAsia="方正仿宋_GBK" w:cs="方正仿宋_GBK"/>
          <w:kern w:val="0"/>
          <w:sz w:val="30"/>
          <w:szCs w:val="30"/>
        </w:rPr>
      </w:pPr>
    </w:p>
    <w:p>
      <w:pPr>
        <w:spacing w:line="540" w:lineRule="exact"/>
        <w:rPr>
          <w:rStyle w:val="20"/>
          <w:rFonts w:ascii="黑体" w:hAnsi="黑体" w:eastAsia="黑体"/>
          <w:b w:val="0"/>
          <w:spacing w:val="-4"/>
          <w:sz w:val="32"/>
          <w:szCs w:val="32"/>
        </w:rPr>
      </w:pPr>
    </w:p>
    <w:p>
      <w:pPr>
        <w:spacing w:line="540" w:lineRule="exact"/>
        <w:rPr>
          <w:rStyle w:val="20"/>
          <w:rFonts w:ascii="黑体" w:hAnsi="黑体" w:eastAsia="黑体"/>
          <w:b w:val="0"/>
          <w:spacing w:val="-4"/>
          <w:sz w:val="32"/>
          <w:szCs w:val="32"/>
        </w:rPr>
      </w:pPr>
    </w:p>
    <w:p>
      <w:pPr>
        <w:spacing w:line="540" w:lineRule="exact"/>
        <w:ind w:firstLine="640"/>
        <w:rPr>
          <w:rStyle w:val="20"/>
          <w:rFonts w:hint="eastAsia"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bookmarkStart w:id="0" w:name="_GoBack"/>
      <w:bookmarkEnd w:id="0"/>
      <w:r>
        <w:rPr>
          <w:rStyle w:val="20"/>
          <w:rFonts w:hint="eastAsia" w:ascii="黑体" w:hAnsi="黑体" w:eastAsia="黑体"/>
          <w:b w:val="0"/>
          <w:spacing w:val="-4"/>
          <w:sz w:val="32"/>
          <w:szCs w:val="32"/>
        </w:rPr>
        <w:t>一、项目概况</w:t>
      </w:r>
    </w:p>
    <w:p>
      <w:pPr>
        <w:spacing w:line="540" w:lineRule="exact"/>
        <w:ind w:firstLine="567"/>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和静县农业局位于和静县城天鹅湖路农牧大厦4楼。县农业局属全额拨款的行政单位单位，内设行政办公室、农业综合股、项目办等股室。行政编制13个，</w:t>
      </w:r>
      <w:r>
        <w:rPr>
          <w:rFonts w:hint="eastAsia" w:ascii="仿宋_GB2312" w:hAnsi="仿宋_GB2312" w:eastAsia="仿宋_GB2312" w:cs="仿宋_GB2312"/>
          <w:kern w:val="0"/>
          <w:sz w:val="32"/>
          <w:szCs w:val="32"/>
        </w:rPr>
        <w:t>实有在职人员</w:t>
      </w:r>
      <w:r>
        <w:rPr>
          <w:rFonts w:hint="eastAsia" w:ascii="仿宋_GB2312" w:hAnsi="仿宋_GB2312" w:eastAsia="仿宋_GB2312" w:cs="仿宋_GB2312"/>
          <w:sz w:val="32"/>
          <w:szCs w:val="32"/>
        </w:rPr>
        <w:t>15人</w:t>
      </w:r>
      <w:r>
        <w:rPr>
          <w:rFonts w:hint="eastAsia" w:ascii="仿宋_GB2312" w:hAnsi="仿宋_GB2312" w:eastAsia="仿宋_GB2312" w:cs="仿宋_GB2312"/>
          <w:kern w:val="0"/>
          <w:sz w:val="32"/>
          <w:szCs w:val="32"/>
        </w:rPr>
        <w:t>。</w:t>
      </w:r>
    </w:p>
    <w:p>
      <w:pPr>
        <w:pStyle w:val="11"/>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主要职能：</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1、研究拟定全县农业和农村经济的发展战略、中长期发展规划，并负责组织实施，拟定农业开发规划并监督实施。</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2、贯彻执行国家和自治区关于农业和农村经济工作的方针、政策、法律、法规，并监督实施；研究和静县农业产业政策，引导农业产业结构的合理调整，农业资源的合理配置和产品品质的改善。</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研究提出深化农村经济体制改革的意见；指导全县农业社会化服务体系建设和乡村集体经济组织、合作经济组织建设；按照中央和自治区的要求，稳定和完善农村基本经济制度、政策，调节农村经济利益关系，指导监督减轻农民负担和耕地使用权流动工作，按规定负责有关农业建设项目的管理，调控和管理农业专项发展资金。</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4、研究制定全县农业产业化经营的方针、政策，促进农业产前、产中、产后一体化；组织实施并管理“菜篮子”工程和农产品市场体系建设；预测并发布农产品及农业生产资料供求情况等农村经济信息。</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5、组织全县农业资源区划，生态农业和农业可持续发展工作，指导农用地、宜农湿地、农村可再生能源的开发利用及农业生物物种资源的保护和管理。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6、制定全县农业科研、教育、技术推广及其队伍建设的发展规划和有关政策；组织重大农业科研和技术推广项目的筛选及组织实施；指导农业教育和农业职业技能开发工作。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7、拟定全县农业产业技术质量标准并组织实施；组织实施农产品及绿色食品的质量监督、认证和农业植物新品种的保护工作；组织协调种子、农药等农业投入品质量监测、鉴定和执法监督管理。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8、组织、监督县内植物防疫、检疫工作，发布疫情并组织扑灭。</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9、指导直属事业单位的工作；按照权限管理直属单位的职称评审工作。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10、承办县人民政府交办的其它工作。</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（二）项目预算</w:t>
      </w:r>
      <w:r>
        <w:rPr>
          <w:rStyle w:val="20"/>
          <w:rFonts w:ascii="楷体" w:hAnsi="楷体" w:eastAsia="楷体"/>
          <w:spacing w:val="-4"/>
          <w:sz w:val="32"/>
          <w:szCs w:val="32"/>
        </w:rPr>
        <w:t>绩效目标</w:t>
      </w:r>
      <w:r>
        <w:rPr>
          <w:rStyle w:val="20"/>
          <w:rFonts w:hint="eastAsia" w:ascii="楷体" w:hAnsi="楷体" w:eastAsia="楷体"/>
          <w:spacing w:val="-4"/>
          <w:sz w:val="32"/>
          <w:szCs w:val="32"/>
        </w:rPr>
        <w:t>设定情况</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1、新疆鸿腾农牧生态科技开发有限公司大型沼气建设项目中央资金150万元，项目建设已完成，通过进行初步验收，拨付项目建设进度款资金75万元。</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仿宋_GB2312" w:hAnsi="仿宋" w:eastAsia="仿宋_GB2312"/>
          <w:sz w:val="32"/>
          <w:szCs w:val="32"/>
        </w:rPr>
        <w:t>2、晟鑫农贸有限责任公司大型沼气工程建设项目已完成，经验收合格并通过项目审计，尾款40万元已全部拨付到位。</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1、新疆鸿腾农牧生态科技开发有限公司大型沼气建设项目中央资金150万元，项目严格按要求实施，已拨建设资金共计120万元，目前尚有30万元尾款未拨付（主要是上级农业部门还未进行正式验收）。</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仿宋_GB2312" w:hAnsi="仿宋" w:eastAsia="仿宋_GB2312"/>
          <w:sz w:val="32"/>
          <w:szCs w:val="32"/>
        </w:rPr>
        <w:t>2、晟鑫农贸有限责任公司大型沼气工程建设项目已完成，经验收合格并通过项目审计，项目中央200万元资金已全部拨付到位。</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（二）项目资金实际使用情况分析</w:t>
      </w:r>
    </w:p>
    <w:tbl>
      <w:tblPr>
        <w:tblStyle w:val="18"/>
        <w:tblpPr w:leftFromText="180" w:rightFromText="180" w:vertAnchor="text" w:horzAnchor="page" w:tblpX="1939" w:tblpY="305"/>
        <w:tblOverlap w:val="never"/>
        <w:tblW w:w="8235" w:type="dxa"/>
        <w:tblInd w:w="0" w:type="dxa"/>
        <w:tblLayout w:type="fixed"/>
        <w:tblCellMar>
          <w:top w:w="0" w:type="dxa"/>
          <w:left w:w="30" w:type="dxa"/>
          <w:bottom w:w="0" w:type="dxa"/>
          <w:right w:w="30" w:type="dxa"/>
        </w:tblCellMar>
      </w:tblPr>
      <w:tblGrid>
        <w:gridCol w:w="1965"/>
        <w:gridCol w:w="1500"/>
        <w:gridCol w:w="1725"/>
        <w:gridCol w:w="3045"/>
      </w:tblGrid>
      <w:tr>
        <w:tblPrEx>
          <w:tblCellMar>
            <w:top w:w="0" w:type="dxa"/>
            <w:left w:w="30" w:type="dxa"/>
            <w:bottom w:w="0" w:type="dxa"/>
            <w:right w:w="30" w:type="dxa"/>
          </w:tblCellMar>
        </w:tblPrEx>
        <w:trPr>
          <w:trHeight w:val="277" w:hRule="atLeast"/>
        </w:trPr>
        <w:tc>
          <w:tcPr>
            <w:tcW w:w="1965"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tcPr>
          <w:p>
            <w:pPr>
              <w:widowControl/>
              <w:spacing w:line="720" w:lineRule="auto"/>
              <w:jc w:val="center"/>
              <w:rPr>
                <w:rFonts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项目支出内容</w:t>
            </w:r>
          </w:p>
        </w:tc>
        <w:tc>
          <w:tcPr>
            <w:tcW w:w="6270" w:type="dxa"/>
            <w:gridSpan w:val="3"/>
            <w:tcBorders>
              <w:top w:val="single" w:color="000000" w:sz="6" w:space="0"/>
              <w:left w:val="single" w:color="auto" w:sz="4" w:space="0"/>
              <w:bottom w:val="single" w:color="000000" w:sz="6" w:space="0"/>
              <w:right w:val="single" w:color="auto" w:sz="4" w:space="0"/>
            </w:tcBorders>
            <w:shd w:val="clear" w:color="auto" w:fill="FFFFFF" w:themeFill="background1"/>
            <w:noWrap/>
          </w:tcPr>
          <w:p>
            <w:pPr>
              <w:widowControl/>
              <w:jc w:val="center"/>
              <w:rPr>
                <w:rFonts w:ascii="仿宋_GB2312" w:hAnsi="仿宋_GB2312" w:eastAsia="仿宋_GB2312" w:cs="仿宋_GB2312"/>
                <w:b/>
                <w:bCs/>
                <w:kern w:val="0"/>
                <w:sz w:val="18"/>
                <w:szCs w:val="18"/>
              </w:rPr>
            </w:pPr>
            <w:r>
              <w:rPr>
                <w:rFonts w:hint="eastAsia" w:ascii="仿宋_GB2312" w:hAnsi="仿宋_GB2312" w:eastAsia="仿宋_GB2312" w:cs="仿宋_GB2312"/>
                <w:b/>
                <w:bCs/>
                <w:kern w:val="0"/>
                <w:sz w:val="18"/>
                <w:szCs w:val="18"/>
              </w:rPr>
              <w:t>资金情况（单位：元）</w:t>
            </w:r>
          </w:p>
        </w:tc>
      </w:tr>
      <w:tr>
        <w:tblPrEx>
          <w:tblCellMar>
            <w:top w:w="0" w:type="dxa"/>
            <w:left w:w="30" w:type="dxa"/>
            <w:bottom w:w="0" w:type="dxa"/>
            <w:right w:w="30" w:type="dxa"/>
          </w:tblCellMar>
        </w:tblPrEx>
        <w:trPr>
          <w:trHeight w:val="466" w:hRule="atLeast"/>
        </w:trPr>
        <w:tc>
          <w:tcPr>
            <w:tcW w:w="196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tcPr>
          <w:p>
            <w:pPr>
              <w:widowControl/>
              <w:jc w:val="center"/>
              <w:rPr>
                <w:rFonts w:ascii="仿宋_GB2312" w:hAnsi="仿宋_GB2312" w:eastAsia="仿宋_GB2312" w:cs="仿宋_GB2312"/>
                <w:b/>
                <w:bCs/>
                <w:kern w:val="0"/>
                <w:sz w:val="24"/>
              </w:rPr>
            </w:pPr>
          </w:p>
        </w:tc>
        <w:tc>
          <w:tcPr>
            <w:tcW w:w="1500" w:type="dxa"/>
            <w:tcBorders>
              <w:top w:val="single" w:color="000000" w:sz="6" w:space="0"/>
              <w:left w:val="single" w:color="auto" w:sz="4" w:space="0"/>
              <w:bottom w:val="single" w:color="000000" w:sz="6" w:space="0"/>
              <w:right w:val="single" w:color="000000" w:sz="6" w:space="0"/>
            </w:tcBorders>
            <w:shd w:val="clear" w:color="auto" w:fill="FFFFFF" w:themeFill="background1"/>
            <w:noWrap/>
          </w:tcPr>
          <w:p>
            <w:pPr>
              <w:widowControl/>
              <w:spacing w:line="60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color w:val="000000"/>
                <w:kern w:val="0"/>
                <w:szCs w:val="21"/>
              </w:rPr>
              <w:t>合计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hemeFill="background1"/>
            <w:noWrap/>
          </w:tcPr>
          <w:p>
            <w:pPr>
              <w:widowControl/>
              <w:spacing w:line="60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color w:val="000000"/>
                <w:kern w:val="0"/>
                <w:szCs w:val="21"/>
              </w:rPr>
              <w:t>财政资金支出数</w:t>
            </w:r>
          </w:p>
        </w:tc>
        <w:tc>
          <w:tcPr>
            <w:tcW w:w="3045" w:type="dxa"/>
            <w:tcBorders>
              <w:top w:val="single" w:color="000000" w:sz="6" w:space="0"/>
              <w:left w:val="single" w:color="000000" w:sz="6" w:space="0"/>
              <w:bottom w:val="single" w:color="000000" w:sz="6" w:space="0"/>
              <w:right w:val="single" w:color="000000" w:sz="6" w:space="0"/>
            </w:tcBorders>
            <w:shd w:val="clear" w:color="auto" w:fill="FFFFFF" w:themeFill="background1"/>
            <w:noWrap/>
          </w:tcPr>
          <w:p>
            <w:pPr>
              <w:widowControl/>
              <w:jc w:val="center"/>
              <w:rPr>
                <w:rFonts w:ascii="仿宋_GB2312" w:hAnsi="仿宋_GB2312" w:eastAsia="仿宋_GB2312" w:cs="仿宋_GB2312"/>
                <w:b/>
                <w:bCs/>
                <w:kern w:val="0"/>
                <w:sz w:val="24"/>
              </w:rPr>
            </w:pPr>
            <w:r>
              <w:rPr>
                <w:rFonts w:hint="eastAsia" w:ascii="仿宋_GB2312" w:hAnsi="仿宋_GB2312" w:eastAsia="仿宋_GB2312" w:cs="仿宋_GB2312"/>
                <w:b/>
                <w:bCs/>
                <w:color w:val="000000"/>
                <w:kern w:val="0"/>
                <w:szCs w:val="21"/>
              </w:rPr>
              <w:t>其他资金支出数</w:t>
            </w:r>
          </w:p>
        </w:tc>
      </w:tr>
      <w:tr>
        <w:tblPrEx>
          <w:tblCellMar>
            <w:top w:w="0" w:type="dxa"/>
            <w:left w:w="30" w:type="dxa"/>
            <w:bottom w:w="0" w:type="dxa"/>
            <w:right w:w="30" w:type="dxa"/>
          </w:tblCellMar>
        </w:tblPrEx>
        <w:trPr>
          <w:trHeight w:val="466" w:hRule="atLeast"/>
        </w:trPr>
        <w:tc>
          <w:tcPr>
            <w:tcW w:w="1965" w:type="dxa"/>
            <w:tcBorders>
              <w:top w:val="single" w:color="auto" w:sz="4" w:space="0"/>
              <w:left w:val="single" w:color="auto" w:sz="4" w:space="0"/>
              <w:bottom w:val="single" w:color="auto" w:sz="4" w:space="0"/>
              <w:right w:val="single" w:color="auto" w:sz="4"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合计</w:t>
            </w:r>
          </w:p>
        </w:tc>
        <w:tc>
          <w:tcPr>
            <w:tcW w:w="1500" w:type="dxa"/>
            <w:tcBorders>
              <w:top w:val="single" w:color="000000" w:sz="6" w:space="0"/>
              <w:left w:val="single" w:color="auto" w:sz="4"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115</w:t>
            </w:r>
          </w:p>
        </w:tc>
        <w:tc>
          <w:tcPr>
            <w:tcW w:w="172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115</w:t>
            </w:r>
          </w:p>
        </w:tc>
        <w:tc>
          <w:tcPr>
            <w:tcW w:w="304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w:t>
            </w:r>
          </w:p>
        </w:tc>
      </w:tr>
      <w:tr>
        <w:tblPrEx>
          <w:tblCellMar>
            <w:top w:w="0" w:type="dxa"/>
            <w:left w:w="30" w:type="dxa"/>
            <w:bottom w:w="0" w:type="dxa"/>
            <w:right w:w="30" w:type="dxa"/>
          </w:tblCellMar>
        </w:tblPrEx>
        <w:trPr>
          <w:trHeight w:val="466" w:hRule="atLeast"/>
        </w:trPr>
        <w:tc>
          <w:tcPr>
            <w:tcW w:w="1965" w:type="dxa"/>
            <w:tcBorders>
              <w:top w:val="single" w:color="auto" w:sz="4" w:space="0"/>
              <w:left w:val="single" w:color="auto" w:sz="4" w:space="0"/>
              <w:bottom w:val="single" w:color="auto" w:sz="4" w:space="0"/>
              <w:right w:val="single" w:color="auto" w:sz="4" w:space="0"/>
            </w:tcBorders>
            <w:noWrap/>
          </w:tcPr>
          <w:p>
            <w:pPr>
              <w:autoSpaceDE w:val="0"/>
              <w:autoSpaceDN w:val="0"/>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和静县沼气工程建设项目资金</w:t>
            </w:r>
          </w:p>
        </w:tc>
        <w:tc>
          <w:tcPr>
            <w:tcW w:w="1500" w:type="dxa"/>
            <w:tcBorders>
              <w:top w:val="single" w:color="000000" w:sz="6" w:space="0"/>
              <w:left w:val="single" w:color="auto" w:sz="4"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115</w:t>
            </w:r>
          </w:p>
        </w:tc>
        <w:tc>
          <w:tcPr>
            <w:tcW w:w="172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115</w:t>
            </w:r>
          </w:p>
        </w:tc>
        <w:tc>
          <w:tcPr>
            <w:tcW w:w="304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w:t>
            </w:r>
          </w:p>
        </w:tc>
      </w:tr>
      <w:tr>
        <w:tblPrEx>
          <w:tblCellMar>
            <w:top w:w="0" w:type="dxa"/>
            <w:left w:w="30" w:type="dxa"/>
            <w:bottom w:w="0" w:type="dxa"/>
            <w:right w:w="30" w:type="dxa"/>
          </w:tblCellMar>
        </w:tblPrEx>
        <w:trPr>
          <w:trHeight w:val="718" w:hRule="atLeast"/>
        </w:trPr>
        <w:tc>
          <w:tcPr>
            <w:tcW w:w="1965" w:type="dxa"/>
            <w:tcBorders>
              <w:top w:val="single" w:color="auto" w:sz="4" w:space="0"/>
              <w:left w:val="single" w:color="auto" w:sz="4" w:space="0"/>
              <w:bottom w:val="single" w:color="auto" w:sz="4" w:space="0"/>
              <w:right w:val="single" w:color="auto" w:sz="4" w:space="0"/>
            </w:tcBorders>
            <w:noWrap/>
          </w:tcPr>
          <w:p>
            <w:pPr>
              <w:autoSpaceDE w:val="0"/>
              <w:autoSpaceDN w:val="0"/>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新疆鸿腾农牧生态科技开发有限公司大型沼气建设项目资金</w:t>
            </w:r>
          </w:p>
        </w:tc>
        <w:tc>
          <w:tcPr>
            <w:tcW w:w="1500" w:type="dxa"/>
            <w:tcBorders>
              <w:top w:val="single" w:color="000000" w:sz="6" w:space="0"/>
              <w:left w:val="single" w:color="auto" w:sz="4" w:space="0"/>
              <w:bottom w:val="single" w:color="000000" w:sz="6" w:space="0"/>
              <w:right w:val="single" w:color="000000" w:sz="6" w:space="0"/>
            </w:tcBorders>
            <w:noWrap/>
          </w:tcPr>
          <w:p>
            <w:pPr>
              <w:autoSpaceDE w:val="0"/>
              <w:autoSpaceDN w:val="0"/>
              <w:spacing w:line="72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75</w:t>
            </w:r>
          </w:p>
        </w:tc>
        <w:tc>
          <w:tcPr>
            <w:tcW w:w="172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72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75</w:t>
            </w:r>
          </w:p>
        </w:tc>
        <w:tc>
          <w:tcPr>
            <w:tcW w:w="304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48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w:t>
            </w:r>
          </w:p>
        </w:tc>
      </w:tr>
      <w:tr>
        <w:tblPrEx>
          <w:tblCellMar>
            <w:top w:w="0" w:type="dxa"/>
            <w:left w:w="30" w:type="dxa"/>
            <w:bottom w:w="0" w:type="dxa"/>
            <w:right w:w="30" w:type="dxa"/>
          </w:tblCellMar>
        </w:tblPrEx>
        <w:trPr>
          <w:trHeight w:val="466" w:hRule="atLeast"/>
        </w:trPr>
        <w:tc>
          <w:tcPr>
            <w:tcW w:w="1965" w:type="dxa"/>
            <w:tcBorders>
              <w:top w:val="single" w:color="auto" w:sz="4" w:space="0"/>
              <w:left w:val="single" w:color="auto" w:sz="4" w:space="0"/>
              <w:bottom w:val="single" w:color="auto" w:sz="4" w:space="0"/>
              <w:right w:val="single" w:color="auto" w:sz="4" w:space="0"/>
            </w:tcBorders>
            <w:noWrap/>
          </w:tcPr>
          <w:p>
            <w:pPr>
              <w:autoSpaceDE w:val="0"/>
              <w:autoSpaceDN w:val="0"/>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晟鑫农贸有限责任公司大型沼气工程建设项目资金</w:t>
            </w:r>
          </w:p>
        </w:tc>
        <w:tc>
          <w:tcPr>
            <w:tcW w:w="1500" w:type="dxa"/>
            <w:tcBorders>
              <w:top w:val="single" w:color="000000" w:sz="6" w:space="0"/>
              <w:left w:val="single" w:color="auto" w:sz="4" w:space="0"/>
              <w:bottom w:val="single" w:color="000000" w:sz="6" w:space="0"/>
              <w:right w:val="single" w:color="000000" w:sz="6" w:space="0"/>
            </w:tcBorders>
            <w:noWrap/>
          </w:tcPr>
          <w:p>
            <w:pPr>
              <w:autoSpaceDE w:val="0"/>
              <w:autoSpaceDN w:val="0"/>
              <w:spacing w:line="72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40</w:t>
            </w:r>
          </w:p>
        </w:tc>
        <w:tc>
          <w:tcPr>
            <w:tcW w:w="172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72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40</w:t>
            </w:r>
          </w:p>
        </w:tc>
        <w:tc>
          <w:tcPr>
            <w:tcW w:w="3045" w:type="dxa"/>
            <w:tcBorders>
              <w:top w:val="single" w:color="000000" w:sz="6" w:space="0"/>
              <w:left w:val="single" w:color="000000" w:sz="6" w:space="0"/>
              <w:bottom w:val="single" w:color="000000" w:sz="6" w:space="0"/>
              <w:right w:val="single" w:color="000000" w:sz="6" w:space="0"/>
            </w:tcBorders>
            <w:noWrap/>
          </w:tcPr>
          <w:p>
            <w:pPr>
              <w:autoSpaceDE w:val="0"/>
              <w:autoSpaceDN w:val="0"/>
              <w:spacing w:line="720" w:lineRule="auto"/>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w:t>
            </w:r>
          </w:p>
        </w:tc>
      </w:tr>
    </w:tbl>
    <w:p>
      <w:pPr>
        <w:spacing w:line="540" w:lineRule="exact"/>
        <w:rPr>
          <w:rStyle w:val="20"/>
          <w:rFonts w:ascii="楷体" w:hAnsi="楷体" w:eastAsia="楷体"/>
          <w:spacing w:val="-4"/>
          <w:sz w:val="32"/>
          <w:szCs w:val="32"/>
        </w:rPr>
      </w:pPr>
    </w:p>
    <w:p>
      <w:pPr>
        <w:spacing w:line="540" w:lineRule="exact"/>
        <w:ind w:firstLine="313" w:firstLineChars="100"/>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spacing w:line="540" w:lineRule="exact"/>
        <w:ind w:firstLine="624" w:firstLineChars="20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和静县农业局严格按照项目建设要求拨付项目资金落实到位，建立健全财务管理制度，严格执行财务管理制度，严格按照项目建设资金管理办法执行。严禁以任何名义、任何方式挤占挪用项目资金。同时组织开展项目实施情况检查、报送绩效报告等。</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spacing w:line="540" w:lineRule="exact"/>
        <w:ind w:firstLine="567" w:firstLineChars="181"/>
        <w:rPr>
          <w:rStyle w:val="20"/>
          <w:rFonts w:ascii="楷体" w:hAnsi="楷体" w:eastAsia="楷体"/>
          <w:spacing w:val="-4"/>
          <w:sz w:val="32"/>
          <w:szCs w:val="32"/>
        </w:rPr>
      </w:pPr>
      <w:r>
        <w:rPr>
          <w:rStyle w:val="20"/>
          <w:rFonts w:hint="eastAsia" w:ascii="楷体" w:hAnsi="楷体" w:eastAsia="楷体"/>
          <w:spacing w:val="-4"/>
          <w:sz w:val="32"/>
          <w:szCs w:val="32"/>
        </w:rPr>
        <w:t>（一）项目管理情况分析</w:t>
      </w:r>
    </w:p>
    <w:p>
      <w:pPr>
        <w:spacing w:line="540" w:lineRule="exact"/>
        <w:ind w:firstLine="624" w:firstLineChars="200"/>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对申报材料及项目评审的真实性、可靠性负责，项目申报明确绩效目标，严格按照自治区相关财经纪律要求，切实加强资金日常监督检查指导工作，对项目执行情况开展不定期督查，并将项目资金绩效考评结果作为下年度安排扶持资金的重要参考依据。</w:t>
      </w:r>
    </w:p>
    <w:p>
      <w:pPr>
        <w:spacing w:line="540" w:lineRule="exact"/>
        <w:ind w:firstLine="640"/>
        <w:rPr>
          <w:rStyle w:val="20"/>
          <w:rFonts w:ascii="黑体" w:hAnsi="黑体" w:eastAsia="黑体"/>
        </w:rPr>
      </w:pPr>
      <w:r>
        <w:rPr>
          <w:rStyle w:val="20"/>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一）我局安排专人收集绩效评价基础数据，将项目支出后的实际状况与申报的绩效目标对比，从项目的经济性、效率性、有效性和可持续性等方面进行量化、具体分析。项目的经济性分析主要是对项目申报规范性投入、控制、节约等情况进行分析；项目的效率性分析主要是对项目实施的过程、进度及质量等情况进行分析；项目的有效性分析主要是对反映项目资金使用产出效果的职责履行情况进行分析；项目的可持续性分析主要是对项目完成后的效果，履职效益进行分析。以上分析汇总评价之后形成整体绩效评价结果。</w:t>
      </w:r>
    </w:p>
    <w:p>
      <w:pPr>
        <w:spacing w:line="540" w:lineRule="exact"/>
        <w:ind w:firstLine="567" w:firstLineChars="181"/>
        <w:rPr>
          <w:rStyle w:val="20"/>
          <w:rFonts w:ascii="楷体" w:hAnsi="楷体" w:eastAsia="楷体" w:cs="楷体"/>
          <w:bCs w:val="0"/>
          <w:spacing w:val="-4"/>
          <w:sz w:val="32"/>
          <w:szCs w:val="32"/>
        </w:rPr>
      </w:pPr>
      <w:r>
        <w:rPr>
          <w:rStyle w:val="20"/>
          <w:rFonts w:hint="eastAsia" w:ascii="楷体" w:hAnsi="楷体" w:eastAsia="楷体" w:cs="楷体"/>
          <w:bCs w:val="0"/>
          <w:spacing w:val="-4"/>
          <w:sz w:val="32"/>
          <w:szCs w:val="32"/>
        </w:rPr>
        <w:t>（二）整体绩效目标完成情况分析</w:t>
      </w:r>
    </w:p>
    <w:p>
      <w:pPr>
        <w:spacing w:line="540" w:lineRule="exact"/>
        <w:ind w:firstLine="564" w:firstLineChars="181"/>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1、 设立的整体绩效目标依据充分、合理、明确，符合国家法律法规、国民经济和社会发展总规划，结合实际需开展的工作，设立绩效目标，目标设定客观实际，严格按预算执行质量、厉行节约的要求，做到了清晰、细化。</w:t>
      </w:r>
    </w:p>
    <w:p>
      <w:pPr>
        <w:spacing w:line="540" w:lineRule="exact"/>
        <w:ind w:firstLine="564" w:firstLineChars="181"/>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相关管理制度合法、合规、完整，得到有效执行，年初工作计划来提高绩效管理，提高资金使用效率。</w:t>
      </w:r>
    </w:p>
    <w:p>
      <w:pPr>
        <w:spacing w:line="540" w:lineRule="exact"/>
        <w:ind w:firstLine="564" w:firstLineChars="181"/>
        <w:rPr>
          <w:rStyle w:val="20"/>
          <w:rFonts w:ascii="仿宋_GB2312" w:hAnsi="仿宋_GB2312" w:eastAsia="仿宋_GB2312" w:cs="仿宋_GB2312"/>
          <w:b w:val="0"/>
          <w:spacing w:val="-4"/>
          <w:sz w:val="32"/>
          <w:szCs w:val="32"/>
        </w:rPr>
      </w:pPr>
      <w:r>
        <w:rPr>
          <w:rStyle w:val="20"/>
          <w:rFonts w:hint="eastAsia" w:ascii="仿宋_GB2312" w:hAnsi="仿宋_GB2312" w:eastAsia="仿宋_GB2312" w:cs="仿宋_GB2312"/>
          <w:b w:val="0"/>
          <w:spacing w:val="-4"/>
          <w:sz w:val="32"/>
          <w:szCs w:val="32"/>
        </w:rPr>
        <w:t>2、我局严格资金管理，资金使用审批按照相关财务规定执行，年末按时完成了项目支出。</w:t>
      </w:r>
    </w:p>
    <w:p>
      <w:pPr>
        <w:spacing w:line="540" w:lineRule="exact"/>
        <w:ind w:firstLine="567" w:firstLineChars="181"/>
        <w:rPr>
          <w:rFonts w:ascii="楷体" w:hAnsi="楷体" w:eastAsia="楷体" w:cs="楷体"/>
          <w:b/>
          <w:spacing w:val="-4"/>
          <w:sz w:val="32"/>
          <w:szCs w:val="32"/>
        </w:rPr>
      </w:pPr>
      <w:r>
        <w:rPr>
          <w:rFonts w:hint="eastAsia" w:ascii="楷体" w:hAnsi="楷体" w:eastAsia="楷体" w:cs="楷体"/>
          <w:b/>
          <w:spacing w:val="-4"/>
          <w:sz w:val="32"/>
          <w:szCs w:val="32"/>
        </w:rPr>
        <w:t>（二）项目绩效目标未完成原因分析</w:t>
      </w:r>
    </w:p>
    <w:p>
      <w:pPr>
        <w:spacing w:line="540" w:lineRule="exact"/>
        <w:ind w:firstLine="579" w:firstLineChars="181"/>
        <w:rPr>
          <w:rFonts w:ascii="仿宋_GB2312" w:hAnsi="仿宋_GB2312" w:eastAsia="仿宋_GB2312" w:cs="仿宋_GB2312"/>
          <w:spacing w:val="-4"/>
          <w:sz w:val="32"/>
          <w:szCs w:val="32"/>
        </w:rPr>
      </w:pPr>
      <w:r>
        <w:rPr>
          <w:rFonts w:hint="eastAsia" w:ascii="仿宋_GB2312" w:hAnsi="仿宋_GB2312" w:eastAsia="仿宋_GB2312" w:cs="仿宋_GB2312"/>
          <w:sz w:val="32"/>
          <w:szCs w:val="32"/>
        </w:rPr>
        <w:t>新疆鸿腾农牧生态科技开发有限公司大型沼气建设项目还未正式进行验收，尾款还未支付。</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hAnsi="仿宋" w:eastAsia="仿宋_GB2312"/>
          <w:sz w:val="32"/>
          <w:szCs w:val="32"/>
        </w:rPr>
      </w:pPr>
      <w:r>
        <w:rPr>
          <w:rFonts w:hint="eastAsia" w:ascii="仿宋_GB2312" w:hAnsi="仿宋" w:eastAsia="仿宋_GB2312"/>
          <w:sz w:val="32"/>
          <w:szCs w:val="32"/>
        </w:rPr>
        <w:t>我局将在做好本职工作的同时，进一步抓好项目后续工作落实，不断带动区域经济发展，造福一方百姓。</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hAnsi="仿宋_GB2312" w:eastAsia="仿宋_GB2312" w:cs="仿宋_GB2312"/>
          <w:b/>
          <w:spacing w:val="-4"/>
          <w:sz w:val="32"/>
          <w:szCs w:val="32"/>
        </w:rPr>
      </w:pPr>
      <w:r>
        <w:rPr>
          <w:rFonts w:hint="eastAsia" w:ascii="仿宋_GB2312" w:hAnsi="仿宋_GB2312" w:eastAsia="仿宋_GB2312" w:cs="仿宋_GB2312"/>
          <w:spacing w:val="-4"/>
          <w:sz w:val="32"/>
          <w:szCs w:val="32"/>
        </w:rPr>
        <w:t>我局严格按照相关程序，先申报后审批再拨付，后续跟进监督，确保资金用途落实到实处，</w:t>
      </w:r>
      <w:r>
        <w:rPr>
          <w:rStyle w:val="20"/>
          <w:rFonts w:hint="eastAsia" w:ascii="仿宋_GB2312" w:hAnsi="仿宋_GB2312" w:eastAsia="仿宋_GB2312" w:cs="仿宋_GB2312"/>
          <w:b w:val="0"/>
          <w:spacing w:val="-4"/>
          <w:sz w:val="32"/>
          <w:szCs w:val="32"/>
        </w:rPr>
        <w:t>对项目执行情况开展不定期督查。使项目资金做到</w:t>
      </w:r>
      <w:r>
        <w:rPr>
          <w:rFonts w:hint="eastAsia" w:ascii="仿宋_GB2312" w:hAnsi="仿宋_GB2312" w:eastAsia="仿宋_GB2312" w:cs="仿宋_GB2312"/>
          <w:spacing w:val="-4"/>
          <w:sz w:val="32"/>
          <w:szCs w:val="32"/>
        </w:rPr>
        <w:t>带动经济，造福人民。</w:t>
      </w:r>
    </w:p>
    <w:p>
      <w:pPr>
        <w:spacing w:line="540" w:lineRule="exact"/>
        <w:ind w:firstLine="640"/>
        <w:rPr>
          <w:rStyle w:val="20"/>
          <w:rFonts w:ascii="黑体" w:hAnsi="黑体" w:eastAsia="黑体"/>
          <w:b w:val="0"/>
          <w:spacing w:val="-4"/>
          <w:sz w:val="32"/>
          <w:szCs w:val="32"/>
        </w:rPr>
      </w:pPr>
      <w:r>
        <w:rPr>
          <w:rStyle w:val="20"/>
          <w:rFonts w:hint="eastAsia" w:ascii="黑体" w:hAnsi="黑体" w:eastAsia="黑体"/>
          <w:b w:val="0"/>
          <w:spacing w:val="-4"/>
          <w:sz w:val="32"/>
          <w:szCs w:val="32"/>
        </w:rPr>
        <w:t>六、附表</w:t>
      </w:r>
    </w:p>
    <w:p>
      <w:pPr>
        <w:spacing w:line="540" w:lineRule="exact"/>
        <w:ind w:firstLine="567"/>
        <w:rPr>
          <w:rStyle w:val="20"/>
          <w:rFonts w:ascii="仿宋" w:hAnsi="仿宋" w:eastAsia="仿宋"/>
          <w:b w:val="0"/>
          <w:spacing w:val="-4"/>
          <w:sz w:val="32"/>
          <w:szCs w:val="32"/>
        </w:rPr>
      </w:pPr>
      <w:r>
        <w:rPr>
          <w:rStyle w:val="20"/>
          <w:rFonts w:hint="eastAsia" w:ascii="仿宋" w:hAnsi="仿宋" w:eastAsia="仿宋"/>
          <w:b w:val="0"/>
          <w:spacing w:val="-4"/>
          <w:sz w:val="32"/>
          <w:szCs w:val="32"/>
        </w:rPr>
        <w:t>《和静县农业局项目绩效目标自评表》</w:t>
      </w:r>
    </w:p>
    <w:p>
      <w:pPr>
        <w:spacing w:line="600" w:lineRule="exact"/>
        <w:ind w:firstLine="770" w:firstLineChars="250"/>
        <w:jc w:val="left"/>
        <w:rPr>
          <w:rFonts w:ascii="仿宋_GB2312" w:hAnsi="宋体" w:eastAsia="仿宋_GB2312"/>
          <w:color w:val="FF0000"/>
          <w:spacing w:val="-6"/>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6</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7AD0"/>
    <w:rsid w:val="00056465"/>
    <w:rsid w:val="00121AE4"/>
    <w:rsid w:val="00146AAD"/>
    <w:rsid w:val="00172A27"/>
    <w:rsid w:val="001B3A40"/>
    <w:rsid w:val="002574E5"/>
    <w:rsid w:val="003908B7"/>
    <w:rsid w:val="004366A8"/>
    <w:rsid w:val="00502BA7"/>
    <w:rsid w:val="005162F1"/>
    <w:rsid w:val="00535153"/>
    <w:rsid w:val="00554F82"/>
    <w:rsid w:val="0056390D"/>
    <w:rsid w:val="005719B0"/>
    <w:rsid w:val="005A77DC"/>
    <w:rsid w:val="005D10D6"/>
    <w:rsid w:val="006A1C93"/>
    <w:rsid w:val="006A4A75"/>
    <w:rsid w:val="006E6BB4"/>
    <w:rsid w:val="00781F7D"/>
    <w:rsid w:val="00855E3A"/>
    <w:rsid w:val="0091072A"/>
    <w:rsid w:val="00922CB9"/>
    <w:rsid w:val="009E5CD9"/>
    <w:rsid w:val="00A26421"/>
    <w:rsid w:val="00A4293B"/>
    <w:rsid w:val="00A67D50"/>
    <w:rsid w:val="00A8691A"/>
    <w:rsid w:val="00AC1946"/>
    <w:rsid w:val="00AF7980"/>
    <w:rsid w:val="00B20EA9"/>
    <w:rsid w:val="00B40063"/>
    <w:rsid w:val="00B41F61"/>
    <w:rsid w:val="00BA46E6"/>
    <w:rsid w:val="00C56C72"/>
    <w:rsid w:val="00C65973"/>
    <w:rsid w:val="00C83458"/>
    <w:rsid w:val="00CA6457"/>
    <w:rsid w:val="00D17F2E"/>
    <w:rsid w:val="00D30354"/>
    <w:rsid w:val="00DF42A0"/>
    <w:rsid w:val="00E12CA4"/>
    <w:rsid w:val="00E769FE"/>
    <w:rsid w:val="00EA2CBE"/>
    <w:rsid w:val="00F25355"/>
    <w:rsid w:val="00F32FEE"/>
    <w:rsid w:val="00FB10BB"/>
    <w:rsid w:val="0458762B"/>
    <w:rsid w:val="06BB0A40"/>
    <w:rsid w:val="08F14BDD"/>
    <w:rsid w:val="092A4117"/>
    <w:rsid w:val="0B630698"/>
    <w:rsid w:val="0D301BD6"/>
    <w:rsid w:val="0DBF2263"/>
    <w:rsid w:val="15E524C1"/>
    <w:rsid w:val="15E650B4"/>
    <w:rsid w:val="15F522BF"/>
    <w:rsid w:val="17533478"/>
    <w:rsid w:val="1A625673"/>
    <w:rsid w:val="1BCE3525"/>
    <w:rsid w:val="1CF81E19"/>
    <w:rsid w:val="1F012045"/>
    <w:rsid w:val="1F0A2CDB"/>
    <w:rsid w:val="2737377B"/>
    <w:rsid w:val="29AF411B"/>
    <w:rsid w:val="2A383370"/>
    <w:rsid w:val="2B020990"/>
    <w:rsid w:val="318201C1"/>
    <w:rsid w:val="33A127E1"/>
    <w:rsid w:val="33FD6A3B"/>
    <w:rsid w:val="36C54914"/>
    <w:rsid w:val="3A69255A"/>
    <w:rsid w:val="3C456D15"/>
    <w:rsid w:val="3F5B2BFC"/>
    <w:rsid w:val="3FAA7BA7"/>
    <w:rsid w:val="40E068C5"/>
    <w:rsid w:val="456E197D"/>
    <w:rsid w:val="46433790"/>
    <w:rsid w:val="4A2C4B8C"/>
    <w:rsid w:val="4F230863"/>
    <w:rsid w:val="52EB7610"/>
    <w:rsid w:val="58583371"/>
    <w:rsid w:val="586619B2"/>
    <w:rsid w:val="58B07CBD"/>
    <w:rsid w:val="590C0098"/>
    <w:rsid w:val="5EA465D8"/>
    <w:rsid w:val="5F560221"/>
    <w:rsid w:val="62D24656"/>
    <w:rsid w:val="65B24F6B"/>
    <w:rsid w:val="662060DC"/>
    <w:rsid w:val="67177CBE"/>
    <w:rsid w:val="68FE5FDD"/>
    <w:rsid w:val="69A14F6D"/>
    <w:rsid w:val="69BE13B3"/>
    <w:rsid w:val="69C75DFB"/>
    <w:rsid w:val="70446E36"/>
    <w:rsid w:val="72003B30"/>
    <w:rsid w:val="722A56BB"/>
    <w:rsid w:val="784E774A"/>
    <w:rsid w:val="79870DEA"/>
    <w:rsid w:val="7A9475D9"/>
    <w:rsid w:val="7ACE154C"/>
    <w:rsid w:val="7C590C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Plain Text"/>
    <w:basedOn w:val="1"/>
    <w:qFormat/>
    <w:uiPriority w:val="0"/>
    <w:rPr>
      <w:rFonts w:ascii="宋体" w:hAnsi="Courier New" w:cs="Courier New"/>
      <w:szCs w:val="21"/>
    </w:rPr>
  </w:style>
  <w:style w:type="paragraph" w:styleId="12">
    <w:name w:val="Balloon Text"/>
    <w:basedOn w:val="1"/>
    <w:link w:val="47"/>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Body Text Indent 3"/>
    <w:basedOn w:val="1"/>
    <w:qFormat/>
    <w:uiPriority w:val="0"/>
    <w:pPr>
      <w:spacing w:line="360" w:lineRule="auto"/>
      <w:ind w:firstLine="567"/>
    </w:pPr>
    <w:rPr>
      <w:rFonts w:ascii="仿宋_GB2312" w:eastAsia="仿宋_GB2312"/>
      <w:sz w:val="30"/>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2"/>
    <w:qFormat/>
    <w:uiPriority w:val="9"/>
    <w:rPr>
      <w:rFonts w:asciiTheme="majorHAnsi" w:hAnsiTheme="majorHAnsi" w:eastAsiaTheme="majorEastAsia"/>
      <w:b/>
      <w:bCs/>
      <w:kern w:val="32"/>
      <w:sz w:val="32"/>
      <w:szCs w:val="32"/>
    </w:rPr>
  </w:style>
  <w:style w:type="character" w:customStyle="1" w:styleId="23">
    <w:name w:val="标题 2 Char"/>
    <w:basedOn w:val="19"/>
    <w:link w:val="3"/>
    <w:semiHidden/>
    <w:qFormat/>
    <w:uiPriority w:val="9"/>
    <w:rPr>
      <w:rFonts w:asciiTheme="majorHAnsi" w:hAnsiTheme="majorHAnsi" w:eastAsiaTheme="majorEastAsia"/>
      <w:b/>
      <w:bCs/>
      <w:i/>
      <w:iCs/>
      <w:sz w:val="28"/>
      <w:szCs w:val="28"/>
    </w:rPr>
  </w:style>
  <w:style w:type="character" w:customStyle="1" w:styleId="24">
    <w:name w:val="标题 3 Char"/>
    <w:basedOn w:val="19"/>
    <w:link w:val="4"/>
    <w:semiHidden/>
    <w:qFormat/>
    <w:uiPriority w:val="9"/>
    <w:rPr>
      <w:rFonts w:asciiTheme="majorHAnsi" w:hAnsiTheme="majorHAnsi" w:eastAsiaTheme="majorEastAsia"/>
      <w:b/>
      <w:bCs/>
      <w:sz w:val="26"/>
      <w:szCs w:val="26"/>
    </w:rPr>
  </w:style>
  <w:style w:type="character" w:customStyle="1" w:styleId="25">
    <w:name w:val="标题 4 Char"/>
    <w:basedOn w:val="19"/>
    <w:link w:val="5"/>
    <w:semiHidden/>
    <w:qFormat/>
    <w:uiPriority w:val="9"/>
    <w:rPr>
      <w:b/>
      <w:bCs/>
      <w:sz w:val="28"/>
      <w:szCs w:val="28"/>
    </w:rPr>
  </w:style>
  <w:style w:type="character" w:customStyle="1" w:styleId="26">
    <w:name w:val="标题 5 Char"/>
    <w:basedOn w:val="19"/>
    <w:link w:val="6"/>
    <w:semiHidden/>
    <w:qFormat/>
    <w:uiPriority w:val="9"/>
    <w:rPr>
      <w:b/>
      <w:bCs/>
      <w:i/>
      <w:iCs/>
      <w:sz w:val="26"/>
      <w:szCs w:val="26"/>
    </w:rPr>
  </w:style>
  <w:style w:type="character" w:customStyle="1" w:styleId="27">
    <w:name w:val="标题 6 Char"/>
    <w:basedOn w:val="19"/>
    <w:link w:val="7"/>
    <w:semiHidden/>
    <w:qFormat/>
    <w:uiPriority w:val="9"/>
    <w:rPr>
      <w:b/>
      <w:bCs/>
    </w:rPr>
  </w:style>
  <w:style w:type="character" w:customStyle="1" w:styleId="28">
    <w:name w:val="标题 7 Char"/>
    <w:basedOn w:val="19"/>
    <w:link w:val="8"/>
    <w:semiHidden/>
    <w:qFormat/>
    <w:uiPriority w:val="9"/>
    <w:rPr>
      <w:sz w:val="24"/>
      <w:szCs w:val="24"/>
    </w:rPr>
  </w:style>
  <w:style w:type="character" w:customStyle="1" w:styleId="29">
    <w:name w:val="标题 8 Char"/>
    <w:basedOn w:val="19"/>
    <w:link w:val="9"/>
    <w:semiHidden/>
    <w:qFormat/>
    <w:uiPriority w:val="9"/>
    <w:rPr>
      <w:i/>
      <w:iCs/>
      <w:sz w:val="24"/>
      <w:szCs w:val="24"/>
    </w:rPr>
  </w:style>
  <w:style w:type="character" w:customStyle="1" w:styleId="30">
    <w:name w:val="标题 9 Char"/>
    <w:basedOn w:val="19"/>
    <w:link w:val="10"/>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不明显强调1"/>
    <w:qFormat/>
    <w:uiPriority w:val="19"/>
    <w:rPr>
      <w:i/>
      <w:color w:val="585858" w:themeColor="text1" w:themeTint="A6"/>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Char"/>
    <w:basedOn w:val="19"/>
    <w:link w:val="14"/>
    <w:qFormat/>
    <w:uiPriority w:val="99"/>
    <w:rPr>
      <w:rFonts w:ascii="Calibri" w:hAnsi="Calibri" w:eastAsia="宋体"/>
      <w:kern w:val="2"/>
      <w:sz w:val="18"/>
      <w:szCs w:val="18"/>
    </w:rPr>
  </w:style>
  <w:style w:type="character" w:customStyle="1" w:styleId="46">
    <w:name w:val="页脚 Char"/>
    <w:basedOn w:val="19"/>
    <w:link w:val="13"/>
    <w:qFormat/>
    <w:uiPriority w:val="99"/>
    <w:rPr>
      <w:rFonts w:ascii="Calibri" w:hAnsi="Calibri" w:eastAsia="宋体"/>
      <w:kern w:val="2"/>
      <w:sz w:val="18"/>
      <w:szCs w:val="18"/>
    </w:rPr>
  </w:style>
  <w:style w:type="character" w:customStyle="1" w:styleId="47">
    <w:name w:val="批注框文本 Char"/>
    <w:basedOn w:val="19"/>
    <w:link w:val="12"/>
    <w:semiHidden/>
    <w:qFormat/>
    <w:uiPriority w:val="99"/>
    <w:rPr>
      <w:rFonts w:ascii="Times New Roman" w:hAnsi="Times New Roman" w:eastAsia="宋体"/>
      <w:kern w:val="2"/>
      <w:sz w:val="18"/>
      <w:szCs w:val="18"/>
    </w:rPr>
  </w:style>
  <w:style w:type="character" w:customStyle="1" w:styleId="48">
    <w:name w:val="font01"/>
    <w:basedOn w:val="19"/>
    <w:qFormat/>
    <w:uiPriority w:val="0"/>
    <w:rPr>
      <w:rFonts w:hint="eastAsia" w:ascii="宋体" w:hAnsi="宋体" w:eastAsia="宋体" w:cs="宋体"/>
      <w:b/>
      <w:color w:val="000000"/>
      <w:sz w:val="32"/>
      <w:szCs w:val="32"/>
      <w:u w:val="none"/>
    </w:rPr>
  </w:style>
  <w:style w:type="character" w:customStyle="1" w:styleId="49">
    <w:name w:val="font81"/>
    <w:basedOn w:val="19"/>
    <w:qFormat/>
    <w:uiPriority w:val="0"/>
    <w:rPr>
      <w:rFonts w:hint="eastAsia" w:ascii="宋体" w:hAnsi="宋体" w:eastAsia="宋体" w:cs="宋体"/>
      <w:color w:val="000000"/>
      <w:sz w:val="32"/>
      <w:szCs w:val="32"/>
      <w:u w:val="none"/>
    </w:rPr>
  </w:style>
  <w:style w:type="character" w:customStyle="1" w:styleId="50">
    <w:name w:val="font71"/>
    <w:basedOn w:val="19"/>
    <w:qFormat/>
    <w:uiPriority w:val="0"/>
    <w:rPr>
      <w:rFonts w:hint="eastAsia" w:ascii="宋体" w:hAnsi="宋体" w:eastAsia="宋体" w:cs="宋体"/>
      <w:color w:val="000000"/>
      <w:sz w:val="20"/>
      <w:szCs w:val="20"/>
      <w:u w:val="none"/>
    </w:rPr>
  </w:style>
  <w:style w:type="character" w:customStyle="1" w:styleId="51">
    <w:name w:val="font31"/>
    <w:basedOn w:val="19"/>
    <w:qFormat/>
    <w:uiPriority w:val="0"/>
    <w:rPr>
      <w:rFonts w:hint="eastAsia" w:ascii="宋体" w:hAnsi="宋体" w:eastAsia="宋体" w:cs="宋体"/>
      <w:color w:val="000000"/>
      <w:sz w:val="18"/>
      <w:szCs w:val="18"/>
      <w:u w:val="none"/>
    </w:rPr>
  </w:style>
  <w:style w:type="character" w:customStyle="1" w:styleId="52">
    <w:name w:val="font91"/>
    <w:basedOn w:val="19"/>
    <w:qFormat/>
    <w:uiPriority w:val="0"/>
    <w:rPr>
      <w:rFonts w:hint="eastAsia" w:ascii="宋体" w:hAnsi="宋体" w:eastAsia="宋体" w:cs="宋体"/>
      <w:color w:val="000000"/>
      <w:sz w:val="12"/>
      <w:szCs w:val="1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359</Words>
  <Characters>2051</Characters>
  <Lines>17</Lines>
  <Paragraphs>4</Paragraphs>
  <TotalTime>18</TotalTime>
  <ScaleCrop>false</ScaleCrop>
  <LinksUpToDate>false</LinksUpToDate>
  <CharactersWithSpaces>2406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ʀᴇsᴛ</cp:lastModifiedBy>
  <cp:lastPrinted>2018-12-31T10:56:00Z</cp:lastPrinted>
  <dcterms:modified xsi:type="dcterms:W3CDTF">2020-04-04T13:52:12Z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