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hint="eastAsia" w:ascii="方正小标宋_GBK" w:hAnsi="华文中宋" w:eastAsia="方正小标宋_GBK" w:cs="宋体"/>
          <w:b w:val="0"/>
          <w:bCs/>
          <w:kern w:val="0"/>
          <w:sz w:val="44"/>
          <w:szCs w:val="44"/>
        </w:rPr>
      </w:pPr>
      <w:r>
        <w:rPr>
          <w:rFonts w:hint="eastAsia" w:ascii="方正小标宋_GBK" w:hAnsi="华文中宋" w:eastAsia="方正小标宋_GBK" w:cs="宋体"/>
          <w:b w:val="0"/>
          <w:bCs/>
          <w:kern w:val="0"/>
          <w:sz w:val="44"/>
          <w:szCs w:val="44"/>
        </w:rPr>
        <w:t>新疆巴州和静县巩乃斯镇项目支出绩效</w:t>
      </w: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val="0"/>
          <w:bCs/>
          <w:kern w:val="0"/>
          <w:sz w:val="44"/>
          <w:szCs w:val="44"/>
        </w:rPr>
        <w:t>自评报告</w:t>
      </w: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（2018年度）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bookmarkStart w:id="0" w:name="_GoBack"/>
      <w:bookmarkEnd w:id="0"/>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jc w:val="left"/>
        <w:rPr>
          <w:rFonts w:hAnsi="宋体" w:eastAsia="仿宋_GB2312" w:cs="宋体"/>
          <w:kern w:val="0"/>
          <w:sz w:val="36"/>
          <w:szCs w:val="36"/>
        </w:rPr>
      </w:pPr>
      <w:r>
        <w:rPr>
          <w:rFonts w:hint="eastAsia" w:hAnsi="宋体" w:eastAsia="仿宋_GB2312" w:cs="宋体"/>
          <w:kern w:val="0"/>
          <w:sz w:val="36"/>
          <w:szCs w:val="36"/>
        </w:rPr>
        <w:t>项目名称：2018年阿尔先郭勒村州级扶贫资金旅游项目5万元</w:t>
      </w:r>
    </w:p>
    <w:p>
      <w:pPr>
        <w:jc w:val="left"/>
        <w:rPr>
          <w:rFonts w:hAnsi="宋体" w:eastAsia="仿宋_GB2312" w:cs="宋体"/>
          <w:kern w:val="0"/>
          <w:sz w:val="36"/>
          <w:szCs w:val="36"/>
        </w:rPr>
      </w:pPr>
      <w:r>
        <w:rPr>
          <w:rFonts w:hint="eastAsia" w:hAnsi="宋体" w:eastAsia="仿宋_GB2312" w:cs="宋体"/>
          <w:kern w:val="0"/>
          <w:sz w:val="36"/>
          <w:szCs w:val="36"/>
        </w:rPr>
        <w:t>实施单位（公章）：</w:t>
      </w: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主管部门（公章）：和静县巩乃斯镇人民政府</w:t>
      </w:r>
    </w:p>
    <w:p>
      <w:pPr>
        <w:widowControl/>
        <w:rPr>
          <w:rFonts w:hAnsi="宋体" w:eastAsia="仿宋_GB2312" w:cs="宋体"/>
          <w:kern w:val="0"/>
          <w:sz w:val="36"/>
          <w:szCs w:val="36"/>
        </w:rPr>
      </w:pPr>
      <w:r>
        <w:rPr>
          <w:rFonts w:hint="eastAsia" w:hAnsi="宋体" w:eastAsia="仿宋_GB2312" w:cs="宋体"/>
          <w:kern w:val="0"/>
          <w:sz w:val="36"/>
          <w:szCs w:val="36"/>
        </w:rPr>
        <w:t>项目负责人（签章）：巴依尔</w:t>
      </w: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填报时间：2019年1月23日</w:t>
      </w:r>
    </w:p>
    <w:p>
      <w:pPr>
        <w:spacing w:line="540" w:lineRule="exact"/>
        <w:jc w:val="center"/>
        <w:rPr>
          <w:rFonts w:hAnsi="宋体" w:eastAsia="仿宋_GB2312" w:cs="宋体"/>
          <w:kern w:val="0"/>
          <w:sz w:val="30"/>
          <w:szCs w:val="30"/>
        </w:rPr>
      </w:pPr>
    </w:p>
    <w:p>
      <w:pPr>
        <w:spacing w:line="540" w:lineRule="exact"/>
        <w:rPr>
          <w:rStyle w:val="18"/>
          <w:rFonts w:ascii="黑体" w:hAnsi="黑体" w:eastAsia="黑体"/>
          <w:b w:val="0"/>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一、项目概况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（一）项目单位基本情况</w:t>
      </w:r>
    </w:p>
    <w:p>
      <w:pPr>
        <w:spacing w:line="520" w:lineRule="exact"/>
        <w:ind w:firstLine="480"/>
        <w:rPr>
          <w:rFonts w:ascii="仿宋_GB2312" w:hAnsi="仿宋_GB2312" w:eastAsia="仿宋_GB2312" w:cs="仿宋_GB2312"/>
          <w:sz w:val="32"/>
          <w:szCs w:val="32"/>
        </w:rPr>
      </w:pPr>
      <w:r>
        <w:rPr>
          <w:rFonts w:hint="eastAsia" w:ascii="仿宋_GB2312" w:hAnsi="仿宋_GB2312" w:eastAsia="仿宋_GB2312" w:cs="仿宋_GB2312"/>
          <w:sz w:val="32"/>
          <w:szCs w:val="32"/>
        </w:rPr>
        <w:t>巩乃斯镇是自治区重点贫困镇，位于和静县西北部，地处连接南北疆的218国道沿线，全镇总面积2277平方公里，平均海拔1997米。辖3个行政村2个社区：阿尔先郭勒村、浩伊特开勒德村、巩乃斯郭楞村、乌拉斯台社区、巩乃斯社区。全镇总户数499户1325人（其中：汉族9户16人，维吾尔族23户62人，其他民族1人，巩乃斯国有林管理局38户83人），流动人口1228人，有蒙、汉、维、哈等7个民族，其中蒙古族占99％，有贫困户261户926人。预计2015年末，全镇生产总值增加73.9万元，达到1305.59万元，同比增长6%；牧民人均纯收入增加1200元以上，达到7000元，同比增长22 %；城镇登记失业率控制在3%以内。年内计划脱贫60户198人。</w:t>
      </w:r>
    </w:p>
    <w:p>
      <w:pPr>
        <w:spacing w:line="520" w:lineRule="exact"/>
        <w:ind w:firstLine="480"/>
        <w:rPr>
          <w:rFonts w:ascii="仿宋_GB2312" w:hAnsi="仿宋_GB2312" w:eastAsia="仿宋_GB2312" w:cs="仿宋_GB2312"/>
          <w:sz w:val="32"/>
          <w:szCs w:val="32"/>
        </w:rPr>
      </w:pPr>
      <w:r>
        <w:rPr>
          <w:rFonts w:hint="eastAsia" w:ascii="仿宋_GB2312" w:hAnsi="仿宋_GB2312" w:eastAsia="仿宋_GB2312" w:cs="仿宋_GB2312"/>
          <w:sz w:val="32"/>
          <w:szCs w:val="32"/>
        </w:rPr>
        <w:t>巩乃斯镇隶属新疆维吾尔自治区巴音郭楞蒙古自治州和静县巩乃斯镇，镇域总人口8000人，聚居着蒙、汉、维、哈等7个民族，蒙古族占97％，是土尔扈特蒙古族的主要聚集区。位于新疆和静县西北部，距和静县城255公里，国道218线贯穿镇域。总面积2277平方公里，其中草原面积8.29万公顷，森林面积7.9万公顷。镇域东南与额勒再特乌鲁乡相连，西与新源县那拉提5A级旅游景区接壤，北与尼勒克县、乌苏县、沙弯县毗邻。</w:t>
      </w:r>
    </w:p>
    <w:p>
      <w:pPr>
        <w:spacing w:line="520" w:lineRule="exact"/>
        <w:ind w:firstLine="480"/>
        <w:rPr>
          <w:rFonts w:ascii="仿宋_GB2312" w:hAnsi="仿宋_GB2312" w:eastAsia="仿宋_GB2312" w:cs="仿宋_GB2312"/>
          <w:sz w:val="32"/>
          <w:szCs w:val="32"/>
        </w:rPr>
      </w:pPr>
      <w:r>
        <w:rPr>
          <w:rFonts w:hint="eastAsia" w:ascii="仿宋_GB2312" w:hAnsi="仿宋_GB2312" w:eastAsia="仿宋_GB2312" w:cs="仿宋_GB2312"/>
          <w:sz w:val="32"/>
          <w:szCs w:val="32"/>
        </w:rPr>
        <w:t>巩乃斯，蒙古语意为绿色谷地。四季分明，春季满目新绿、夏季百花争放、秋季霜打红叶、冬季银装素裹，是天然的避暑和旅游胜地，林区和山区雪豹、北山羊等20余种珍贵野生动物，金雕、胡兀鹫、猎隼、天鹅等120余种鸟类繁殖栖息，水獭、无鲮鱼等水生动物，人们称誉为绿色长廊，天山野生植物园和动物王国。</w:t>
      </w:r>
    </w:p>
    <w:p>
      <w:pPr>
        <w:spacing w:line="540" w:lineRule="exact"/>
        <w:ind w:firstLine="567"/>
        <w:rPr>
          <w:rStyle w:val="18"/>
          <w:rFonts w:ascii="楷体" w:hAnsi="楷体" w:eastAsia="楷体"/>
          <w:spacing w:val="-4"/>
          <w:sz w:val="32"/>
          <w:szCs w:val="32"/>
        </w:rPr>
      </w:pP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（二）项目预算</w:t>
      </w:r>
      <w:r>
        <w:rPr>
          <w:rStyle w:val="18"/>
          <w:rFonts w:ascii="楷体" w:hAnsi="楷体" w:eastAsia="楷体"/>
          <w:spacing w:val="-4"/>
          <w:sz w:val="32"/>
          <w:szCs w:val="32"/>
        </w:rPr>
        <w:t>绩效目标</w:t>
      </w:r>
      <w:r>
        <w:rPr>
          <w:rStyle w:val="18"/>
          <w:rFonts w:hint="eastAsia" w:ascii="楷体" w:hAnsi="楷体" w:eastAsia="楷体"/>
          <w:spacing w:val="-4"/>
          <w:sz w:val="32"/>
          <w:szCs w:val="32"/>
        </w:rPr>
        <w:t>设定情况</w:t>
      </w:r>
    </w:p>
    <w:p>
      <w:pPr>
        <w:spacing w:line="560" w:lineRule="exact"/>
        <w:ind w:firstLine="720" w:firstLineChars="200"/>
        <w:rPr>
          <w:rFonts w:ascii="Calibri" w:hAnsi="Calibri" w:eastAsia="仿宋_GB2312" w:cs="宋体"/>
          <w:color w:val="000000"/>
          <w:kern w:val="0"/>
          <w:sz w:val="32"/>
          <w:szCs w:val="32"/>
        </w:rPr>
      </w:pPr>
      <w:r>
        <w:rPr>
          <w:rFonts w:hint="eastAsia" w:hAnsi="宋体" w:eastAsia="仿宋_GB2312" w:cs="宋体"/>
          <w:kern w:val="0"/>
          <w:sz w:val="36"/>
          <w:szCs w:val="36"/>
        </w:rPr>
        <w:t>阿尔先郭勒村</w:t>
      </w:r>
      <w:r>
        <w:rPr>
          <w:rFonts w:hint="eastAsia" w:ascii="Calibri" w:hAnsi="Calibri" w:eastAsia="仿宋_GB2312" w:cs="宋体"/>
          <w:color w:val="000000"/>
          <w:kern w:val="0"/>
          <w:sz w:val="32"/>
          <w:szCs w:val="32"/>
        </w:rPr>
        <w:t>购置蒙古包内设设备（采购60套被褥，600元、/套，共36000元。采购7张床，2000元/张。共14000元。共50000元）。</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二、项目资金使用及管理情况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（一）项目资金安排落实、总投入等情况分析</w:t>
      </w:r>
    </w:p>
    <w:p>
      <w:pPr>
        <w:spacing w:line="560" w:lineRule="exact"/>
        <w:ind w:firstLine="640" w:firstLineChars="200"/>
        <w:rPr>
          <w:rFonts w:ascii="Calibri" w:hAnsi="Calibri" w:eastAsia="仿宋_GB2312" w:cs="宋体"/>
          <w:color w:val="000000"/>
          <w:kern w:val="0"/>
          <w:sz w:val="32"/>
          <w:szCs w:val="32"/>
        </w:rPr>
      </w:pPr>
      <w:r>
        <w:rPr>
          <w:rFonts w:hint="eastAsia" w:ascii="Calibri" w:hAnsi="Calibri" w:eastAsia="仿宋_GB2312" w:cs="宋体"/>
          <w:color w:val="000000"/>
          <w:kern w:val="0"/>
          <w:sz w:val="32"/>
          <w:szCs w:val="32"/>
        </w:rPr>
        <w:t>2018年阿尔先郭勒村购置蒙古包内设设备5万元。</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（二）项目资金实际使用情况分析</w:t>
      </w:r>
    </w:p>
    <w:p>
      <w:pPr>
        <w:spacing w:line="560" w:lineRule="exact"/>
        <w:ind w:firstLine="640" w:firstLineChars="200"/>
        <w:rPr>
          <w:rFonts w:ascii="Calibri" w:hAnsi="Calibri" w:eastAsia="仿宋_GB2312" w:cs="宋体"/>
          <w:color w:val="000000"/>
          <w:kern w:val="0"/>
          <w:sz w:val="32"/>
          <w:szCs w:val="32"/>
        </w:rPr>
      </w:pPr>
      <w:r>
        <w:rPr>
          <w:rFonts w:hint="eastAsia" w:ascii="Calibri" w:hAnsi="Calibri" w:eastAsia="仿宋_GB2312" w:cs="宋体"/>
          <w:color w:val="000000"/>
          <w:kern w:val="0"/>
          <w:sz w:val="32"/>
          <w:szCs w:val="32"/>
        </w:rPr>
        <w:t>2018年阿尔先郭勒村购置蒙古包内设设备5万元。</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（三）项目资金管理情况分析</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该项目的实施既能壮大村集体经济收入，完善各类基础设施建设，改变村容村貌；也能增加牧民收入，改善生产生活条件；还能不断发展壮大乡村旅游业发展，势必成为巩乃斯郭勒村经济收入的主导产业，进一步拓宽就业渠道。</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三、项目组织实施情况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（一）项目组织情况分析</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目前，巩乃斯旅游业处于提升阶段，牧家乐档次较低，菜品质量不高，管理和服务水平跟不上，旅游黄金季节短，每年旅游旺季只有两个月时间，牧民收入不高。巩乃斯镇具有得天独厚的生态旅游发展空间，为进一步加快当地旅游业发展，鼓励贫困户开牧家乐增收，改善贫困牧民的生活生产条件，提高生活质量，从而使贫困户走上脱贫致富路。</w:t>
      </w:r>
    </w:p>
    <w:p>
      <w:pPr>
        <w:spacing w:line="540" w:lineRule="exact"/>
        <w:ind w:firstLine="567" w:firstLineChars="181"/>
        <w:rPr>
          <w:rStyle w:val="18"/>
          <w:rFonts w:ascii="楷体" w:hAnsi="楷体" w:eastAsia="楷体"/>
          <w:color w:val="FF0000"/>
          <w:spacing w:val="-4"/>
          <w:sz w:val="32"/>
          <w:szCs w:val="32"/>
        </w:rPr>
      </w:pPr>
      <w:r>
        <w:rPr>
          <w:rStyle w:val="18"/>
          <w:rFonts w:hint="eastAsia" w:ascii="楷体" w:hAnsi="楷体" w:eastAsia="楷体"/>
          <w:spacing w:val="-4"/>
          <w:sz w:val="32"/>
          <w:szCs w:val="32"/>
        </w:rPr>
        <w:t>（二）项目管理情况分析</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该项目的实施后，即可持续带动和扶持8户27人的增收，又可带动当地旅游业的快速发展。</w:t>
      </w:r>
    </w:p>
    <w:p>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四、项目绩效情况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（一）项目绩效目标完成情况分析</w:t>
      </w:r>
    </w:p>
    <w:p>
      <w:pPr>
        <w:spacing w:line="540" w:lineRule="exact"/>
        <w:ind w:firstLine="579" w:firstLineChars="181"/>
        <w:rPr>
          <w:rFonts w:ascii="仿宋_GB2312" w:hAnsi="仿宋_GB2312" w:eastAsia="仿宋_GB2312" w:cs="仿宋_GB2312"/>
          <w:sz w:val="32"/>
          <w:szCs w:val="32"/>
        </w:rPr>
      </w:pPr>
      <w:r>
        <w:rPr>
          <w:rFonts w:hint="eastAsia" w:ascii="仿宋_GB2312" w:hAnsi="仿宋_GB2312" w:eastAsia="仿宋_GB2312" w:cs="仿宋_GB2312"/>
          <w:sz w:val="32"/>
          <w:szCs w:val="32"/>
        </w:rPr>
        <w:t>项目由镇政府负责组织实施，项目实施方案制定、招投标及项目实施管理等。县扶贫开发办公室负责项目实施的监督管理和检查验收，监督检查项目实施的进度及效果，监督财政扶贫资金的使用与管理。项目资金管理实行公示制、招标投标制、资金报帐制等管理制度。项目实施完工后，由镇人民政府委托巩乃斯郭楞村委会负责该项目进行入户管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（二）项目绩效目标未完成原因分析</w:t>
      </w:r>
    </w:p>
    <w:p>
      <w:pPr>
        <w:spacing w:line="520" w:lineRule="exact"/>
        <w:ind w:firstLine="480"/>
        <w:rPr>
          <w:rFonts w:ascii="仿宋_GB2312" w:hAnsi="仿宋_GB2312" w:eastAsia="仿宋_GB2312" w:cs="仿宋_GB2312"/>
          <w:sz w:val="32"/>
          <w:szCs w:val="32"/>
        </w:rPr>
      </w:pPr>
      <w:r>
        <w:rPr>
          <w:rFonts w:hint="eastAsia" w:ascii="仿宋_GB2312" w:hAnsi="仿宋_GB2312" w:eastAsia="仿宋_GB2312" w:cs="仿宋_GB2312"/>
          <w:sz w:val="32"/>
          <w:szCs w:val="32"/>
        </w:rPr>
        <w:t>无</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五、其他需要说明的问题</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（一）后续工作计划</w:t>
      </w:r>
    </w:p>
    <w:p>
      <w:pPr>
        <w:spacing w:line="540" w:lineRule="exact"/>
        <w:ind w:firstLine="579" w:firstLineChars="181"/>
        <w:rPr>
          <w:rFonts w:ascii="仿宋_GB2312" w:hAnsi="仿宋_GB2312" w:eastAsia="仿宋_GB2312" w:cs="仿宋_GB2312"/>
          <w:sz w:val="32"/>
          <w:szCs w:val="32"/>
        </w:rPr>
      </w:pPr>
      <w:r>
        <w:rPr>
          <w:rFonts w:hint="eastAsia" w:ascii="仿宋_GB2312" w:hAnsi="仿宋_GB2312" w:eastAsia="仿宋_GB2312" w:cs="仿宋_GB2312"/>
          <w:sz w:val="32"/>
          <w:szCs w:val="32"/>
        </w:rPr>
        <w:t>改善贫困牧民的生活生产条件，提高生活质量，从而使贫困户走上脱贫致富路。</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（二）主要经验及做法、存在问题和建议</w:t>
      </w:r>
    </w:p>
    <w:p>
      <w:pPr>
        <w:spacing w:line="520" w:lineRule="exact"/>
        <w:ind w:firstLine="480"/>
        <w:rPr>
          <w:rFonts w:ascii="仿宋_GB2312" w:hAnsi="仿宋_GB2312" w:eastAsia="仿宋_GB2312" w:cs="仿宋_GB2312"/>
          <w:sz w:val="32"/>
          <w:szCs w:val="32"/>
        </w:rPr>
      </w:pPr>
      <w:r>
        <w:rPr>
          <w:rFonts w:hint="eastAsia" w:ascii="仿宋_GB2312" w:hAnsi="仿宋_GB2312" w:eastAsia="仿宋_GB2312" w:cs="仿宋_GB2312"/>
          <w:sz w:val="32"/>
          <w:szCs w:val="32"/>
        </w:rPr>
        <w:t>(一) 专户专账，严格执行专项资金报账制。认真执行专项资金管理规定，专帐核算、专人管理、专款专用、封闭运行，资金始终不脱离财政轨道。</w:t>
      </w:r>
    </w:p>
    <w:p>
      <w:pPr>
        <w:spacing w:line="520" w:lineRule="exact"/>
        <w:ind w:firstLine="480"/>
        <w:rPr>
          <w:rFonts w:ascii="仿宋_GB2312" w:hAnsi="仿宋_GB2312" w:eastAsia="仿宋_GB2312" w:cs="仿宋_GB2312"/>
          <w:sz w:val="32"/>
          <w:szCs w:val="32"/>
        </w:rPr>
      </w:pPr>
      <w:r>
        <w:rPr>
          <w:rFonts w:hint="eastAsia" w:ascii="仿宋_GB2312" w:hAnsi="仿宋_GB2312" w:eastAsia="仿宋_GB2312" w:cs="仿宋_GB2312"/>
          <w:sz w:val="32"/>
          <w:szCs w:val="32"/>
        </w:rPr>
        <w:t>　　(二) 全面推行公告公示制。扶贫项目、资金、建设内容、相关要求等都在村级公示，及时向群众公布，加大社会和群众的监督力度。各村成立由牧民代表参加的项目采购领导小组并报备镇纪检委，询价采购采取货比三家、询价会议、中标公示方式做到公平公正的阳光采购。</w:t>
      </w:r>
    </w:p>
    <w:p>
      <w:pPr>
        <w:spacing w:line="520" w:lineRule="exact"/>
        <w:ind w:firstLine="480"/>
        <w:rPr>
          <w:rFonts w:ascii="仿宋_GB2312" w:hAnsi="仿宋_GB2312" w:eastAsia="仿宋_GB2312" w:cs="仿宋_GB2312"/>
          <w:sz w:val="32"/>
          <w:szCs w:val="32"/>
        </w:rPr>
      </w:pPr>
      <w:r>
        <w:rPr>
          <w:rFonts w:hint="eastAsia" w:ascii="仿宋_GB2312" w:hAnsi="仿宋_GB2312" w:eastAsia="仿宋_GB2312" w:cs="仿宋_GB2312"/>
          <w:sz w:val="32"/>
          <w:szCs w:val="32"/>
        </w:rPr>
        <w:t>　　(三) 建立多方监督、检查制。镇扶贫领导小组、镇纪检部门全程做好监督拨款情况，加强对项目资金计划执行、资金使用、财务管理等环节的监督、检查。</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（三）其他</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无</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六、项目评价工作情况</w:t>
      </w:r>
    </w:p>
    <w:p>
      <w:pPr>
        <w:widowControl/>
        <w:rPr>
          <w:rFonts w:ascii="仿宋_GB2312" w:hAnsi="仿宋_GB2312" w:eastAsia="仿宋_GB2312" w:cs="仿宋_GB2312"/>
          <w:sz w:val="32"/>
          <w:szCs w:val="32"/>
        </w:rPr>
      </w:pPr>
      <w:r>
        <w:rPr>
          <w:rFonts w:ascii="仿宋_GB2312" w:hAnsi="仿宋_GB2312" w:eastAsia="仿宋_GB2312" w:cs="仿宋_GB2312"/>
          <w:sz w:val="32"/>
          <w:szCs w:val="32"/>
        </w:rPr>
        <w:t>巴财扶〔2017〕112号－新财扶〔2017〕47号下达中央财政专项扶贫资金（和静县）</w:t>
      </w:r>
      <w:r>
        <w:rPr>
          <w:rFonts w:hint="eastAsia" w:ascii="仿宋_GB2312" w:hAnsi="仿宋_GB2312" w:eastAsia="仿宋_GB2312" w:cs="仿宋_GB2312"/>
          <w:sz w:val="32"/>
          <w:szCs w:val="32"/>
        </w:rPr>
        <w:t>5万元。</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七、附表</w:t>
      </w:r>
    </w:p>
    <w:p>
      <w:pPr>
        <w:spacing w:line="540" w:lineRule="exact"/>
        <w:ind w:firstLine="567"/>
        <w:rPr>
          <w:rFonts w:ascii="仿宋" w:hAnsi="仿宋" w:eastAsia="仿宋"/>
          <w:bCs/>
          <w:spacing w:val="-4"/>
          <w:sz w:val="32"/>
          <w:szCs w:val="32"/>
        </w:rPr>
      </w:pPr>
      <w:r>
        <w:rPr>
          <w:rStyle w:val="18"/>
          <w:rFonts w:hint="eastAsia" w:ascii="仿宋" w:hAnsi="仿宋" w:eastAsia="仿宋"/>
          <w:b w:val="0"/>
          <w:spacing w:val="-4"/>
          <w:sz w:val="32"/>
          <w:szCs w:val="32"/>
        </w:rPr>
        <w:t>《地区财政项目支出绩效自评表》</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微软雅黑"/>
    <w:panose1 w:val="02010600040101010101"/>
    <w:charset w:val="86"/>
    <w:family w:val="auto"/>
    <w:pitch w:val="default"/>
    <w:sig w:usb0="00000000" w:usb1="00000000" w:usb2="00000010" w:usb3="00000000" w:csb0="0004009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CA6457"/>
    <w:rsid w:val="00056465"/>
    <w:rsid w:val="000A13C9"/>
    <w:rsid w:val="00121AE4"/>
    <w:rsid w:val="00146AAD"/>
    <w:rsid w:val="001B0C4A"/>
    <w:rsid w:val="001B3A40"/>
    <w:rsid w:val="001D204B"/>
    <w:rsid w:val="00224EE1"/>
    <w:rsid w:val="002574E5"/>
    <w:rsid w:val="002D767F"/>
    <w:rsid w:val="002E590A"/>
    <w:rsid w:val="002F7701"/>
    <w:rsid w:val="0031431E"/>
    <w:rsid w:val="003908B7"/>
    <w:rsid w:val="003B558B"/>
    <w:rsid w:val="003B6B36"/>
    <w:rsid w:val="004366A8"/>
    <w:rsid w:val="00502BA7"/>
    <w:rsid w:val="005077CA"/>
    <w:rsid w:val="005162F1"/>
    <w:rsid w:val="00535153"/>
    <w:rsid w:val="00554F82"/>
    <w:rsid w:val="00557407"/>
    <w:rsid w:val="0056390D"/>
    <w:rsid w:val="005719B0"/>
    <w:rsid w:val="005A6D14"/>
    <w:rsid w:val="005B2A2C"/>
    <w:rsid w:val="005C5B1F"/>
    <w:rsid w:val="005D10D6"/>
    <w:rsid w:val="005D7EBD"/>
    <w:rsid w:val="006011C7"/>
    <w:rsid w:val="0065295C"/>
    <w:rsid w:val="00666DAF"/>
    <w:rsid w:val="0069633C"/>
    <w:rsid w:val="006E6BB4"/>
    <w:rsid w:val="006F49B3"/>
    <w:rsid w:val="00702131"/>
    <w:rsid w:val="00743B81"/>
    <w:rsid w:val="007D432D"/>
    <w:rsid w:val="00855E3A"/>
    <w:rsid w:val="00885454"/>
    <w:rsid w:val="008854CF"/>
    <w:rsid w:val="009208A0"/>
    <w:rsid w:val="00922CB9"/>
    <w:rsid w:val="0092573B"/>
    <w:rsid w:val="009417A5"/>
    <w:rsid w:val="009564B6"/>
    <w:rsid w:val="009E5CD9"/>
    <w:rsid w:val="00A26421"/>
    <w:rsid w:val="00A4293B"/>
    <w:rsid w:val="00A5428C"/>
    <w:rsid w:val="00A67D50"/>
    <w:rsid w:val="00A8691A"/>
    <w:rsid w:val="00A94F5D"/>
    <w:rsid w:val="00A97A2B"/>
    <w:rsid w:val="00AC0D50"/>
    <w:rsid w:val="00AC1946"/>
    <w:rsid w:val="00B40063"/>
    <w:rsid w:val="00B41F61"/>
    <w:rsid w:val="00B47913"/>
    <w:rsid w:val="00BA1C24"/>
    <w:rsid w:val="00BA46E6"/>
    <w:rsid w:val="00C56C72"/>
    <w:rsid w:val="00CA6457"/>
    <w:rsid w:val="00CC16B9"/>
    <w:rsid w:val="00D16AF4"/>
    <w:rsid w:val="00D17F2E"/>
    <w:rsid w:val="00D30354"/>
    <w:rsid w:val="00D67767"/>
    <w:rsid w:val="00D926BD"/>
    <w:rsid w:val="00D93346"/>
    <w:rsid w:val="00DD0EBC"/>
    <w:rsid w:val="00DF42A0"/>
    <w:rsid w:val="00E00D00"/>
    <w:rsid w:val="00E40A98"/>
    <w:rsid w:val="00E769FE"/>
    <w:rsid w:val="00EA2CBE"/>
    <w:rsid w:val="00EA554D"/>
    <w:rsid w:val="00EF1128"/>
    <w:rsid w:val="00F32FEE"/>
    <w:rsid w:val="00F67A4E"/>
    <w:rsid w:val="00FA7FDC"/>
    <w:rsid w:val="00FB10BB"/>
    <w:rsid w:val="06821601"/>
    <w:rsid w:val="10955CDA"/>
    <w:rsid w:val="14FB4CB7"/>
    <w:rsid w:val="37FC34C7"/>
    <w:rsid w:val="4246192D"/>
    <w:rsid w:val="472238F6"/>
    <w:rsid w:val="4E75747F"/>
    <w:rsid w:val="4F6E5F47"/>
    <w:rsid w:val="54B8738B"/>
    <w:rsid w:val="5EE14349"/>
    <w:rsid w:val="61DD20C0"/>
    <w:rsid w:val="62502DE6"/>
    <w:rsid w:val="68373090"/>
    <w:rsid w:val="68C571E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Char"/>
    <w:basedOn w:val="17"/>
    <w:link w:val="2"/>
    <w:qFormat/>
    <w:uiPriority w:val="9"/>
    <w:rPr>
      <w:rFonts w:asciiTheme="majorHAnsi" w:hAnsiTheme="majorHAnsi" w:eastAsiaTheme="majorEastAsia"/>
      <w:b/>
      <w:bCs/>
      <w:kern w:val="32"/>
      <w:sz w:val="32"/>
      <w:szCs w:val="32"/>
    </w:rPr>
  </w:style>
  <w:style w:type="character" w:customStyle="1" w:styleId="21">
    <w:name w:val="标题 2 Char"/>
    <w:basedOn w:val="17"/>
    <w:link w:val="3"/>
    <w:semiHidden/>
    <w:qFormat/>
    <w:uiPriority w:val="9"/>
    <w:rPr>
      <w:rFonts w:asciiTheme="majorHAnsi" w:hAnsiTheme="majorHAnsi" w:eastAsiaTheme="majorEastAsia"/>
      <w:b/>
      <w:bCs/>
      <w:i/>
      <w:iCs/>
      <w:sz w:val="28"/>
      <w:szCs w:val="28"/>
    </w:rPr>
  </w:style>
  <w:style w:type="character" w:customStyle="1" w:styleId="22">
    <w:name w:val="标题 3 Char"/>
    <w:basedOn w:val="17"/>
    <w:link w:val="4"/>
    <w:semiHidden/>
    <w:qFormat/>
    <w:uiPriority w:val="9"/>
    <w:rPr>
      <w:rFonts w:asciiTheme="majorHAnsi" w:hAnsiTheme="majorHAnsi" w:eastAsiaTheme="majorEastAsia"/>
      <w:b/>
      <w:bCs/>
      <w:sz w:val="26"/>
      <w:szCs w:val="26"/>
    </w:rPr>
  </w:style>
  <w:style w:type="character" w:customStyle="1" w:styleId="23">
    <w:name w:val="标题 4 Char"/>
    <w:basedOn w:val="17"/>
    <w:link w:val="5"/>
    <w:semiHidden/>
    <w:qFormat/>
    <w:uiPriority w:val="9"/>
    <w:rPr>
      <w:b/>
      <w:bCs/>
      <w:sz w:val="28"/>
      <w:szCs w:val="28"/>
    </w:rPr>
  </w:style>
  <w:style w:type="character" w:customStyle="1" w:styleId="24">
    <w:name w:val="标题 5 Char"/>
    <w:basedOn w:val="17"/>
    <w:link w:val="6"/>
    <w:semiHidden/>
    <w:qFormat/>
    <w:uiPriority w:val="9"/>
    <w:rPr>
      <w:b/>
      <w:bCs/>
      <w:i/>
      <w:iCs/>
      <w:sz w:val="26"/>
      <w:szCs w:val="26"/>
    </w:rPr>
  </w:style>
  <w:style w:type="character" w:customStyle="1" w:styleId="25">
    <w:name w:val="标题 6 Char"/>
    <w:basedOn w:val="17"/>
    <w:link w:val="7"/>
    <w:semiHidden/>
    <w:qFormat/>
    <w:uiPriority w:val="9"/>
    <w:rPr>
      <w:b/>
      <w:bCs/>
    </w:rPr>
  </w:style>
  <w:style w:type="character" w:customStyle="1" w:styleId="26">
    <w:name w:val="标题 7 Char"/>
    <w:basedOn w:val="17"/>
    <w:link w:val="8"/>
    <w:semiHidden/>
    <w:qFormat/>
    <w:uiPriority w:val="9"/>
    <w:rPr>
      <w:sz w:val="24"/>
      <w:szCs w:val="24"/>
    </w:rPr>
  </w:style>
  <w:style w:type="character" w:customStyle="1" w:styleId="27">
    <w:name w:val="标题 8 Char"/>
    <w:basedOn w:val="17"/>
    <w:link w:val="9"/>
    <w:semiHidden/>
    <w:qFormat/>
    <w:uiPriority w:val="9"/>
    <w:rPr>
      <w:i/>
      <w:iCs/>
      <w:sz w:val="24"/>
      <w:szCs w:val="24"/>
    </w:rPr>
  </w:style>
  <w:style w:type="character" w:customStyle="1" w:styleId="28">
    <w:name w:val="标题 9 Char"/>
    <w:basedOn w:val="17"/>
    <w:link w:val="10"/>
    <w:semiHidden/>
    <w:qFormat/>
    <w:uiPriority w:val="9"/>
    <w:rPr>
      <w:rFonts w:asciiTheme="majorHAnsi" w:hAnsiTheme="majorHAnsi" w:eastAsiaTheme="majorEastAsia"/>
    </w:rPr>
  </w:style>
  <w:style w:type="character" w:customStyle="1" w:styleId="29">
    <w:name w:val="标题 Char"/>
    <w:basedOn w:val="17"/>
    <w:link w:val="15"/>
    <w:qFormat/>
    <w:uiPriority w:val="10"/>
    <w:rPr>
      <w:rFonts w:asciiTheme="majorHAnsi" w:hAnsiTheme="majorHAnsi" w:eastAsiaTheme="majorEastAsia"/>
      <w:b/>
      <w:bCs/>
      <w:kern w:val="28"/>
      <w:sz w:val="32"/>
      <w:szCs w:val="32"/>
    </w:rPr>
  </w:style>
  <w:style w:type="character" w:customStyle="1" w:styleId="30">
    <w:name w:val="副标题 Char"/>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Char"/>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Char"/>
    <w:basedOn w:val="17"/>
    <w:link w:val="35"/>
    <w:qFormat/>
    <w:uiPriority w:val="30"/>
    <w:rPr>
      <w:b/>
      <w:i/>
      <w:sz w:val="24"/>
    </w:rPr>
  </w:style>
  <w:style w:type="character" w:customStyle="1" w:styleId="37">
    <w:name w:val="不明显强调1"/>
    <w:qFormat/>
    <w:uiPriority w:val="19"/>
    <w:rPr>
      <w:i/>
      <w:color w:val="595959" w:themeColor="text1" w:themeTint="A5"/>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Char"/>
    <w:basedOn w:val="17"/>
    <w:link w:val="13"/>
    <w:qFormat/>
    <w:uiPriority w:val="99"/>
    <w:rPr>
      <w:rFonts w:ascii="Calibri" w:hAnsi="Calibri" w:eastAsia="宋体"/>
      <w:kern w:val="2"/>
      <w:sz w:val="18"/>
      <w:szCs w:val="18"/>
    </w:rPr>
  </w:style>
  <w:style w:type="character" w:customStyle="1" w:styleId="44">
    <w:name w:val="页脚 Char"/>
    <w:basedOn w:val="17"/>
    <w:link w:val="12"/>
    <w:qFormat/>
    <w:uiPriority w:val="99"/>
    <w:rPr>
      <w:rFonts w:ascii="Calibri" w:hAnsi="Calibri" w:eastAsia="宋体"/>
      <w:kern w:val="2"/>
      <w:sz w:val="18"/>
      <w:szCs w:val="18"/>
    </w:rPr>
  </w:style>
  <w:style w:type="character" w:customStyle="1" w:styleId="45">
    <w:name w:val="批注框文本 Char"/>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5</Pages>
  <Words>298</Words>
  <Characters>1703</Characters>
  <Lines>14</Lines>
  <Paragraphs>3</Paragraphs>
  <TotalTime>0</TotalTime>
  <ScaleCrop>false</ScaleCrop>
  <LinksUpToDate>false</LinksUpToDate>
  <CharactersWithSpaces>1998</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Administrator</cp:lastModifiedBy>
  <cp:lastPrinted>2018-12-31T10:56:00Z</cp:lastPrinted>
  <dcterms:modified xsi:type="dcterms:W3CDTF">2021-05-29T08:45:22Z</dcterms:modified>
  <cp:revision>35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