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auto"/>
        <w:rPr>
          <w:rFonts w:ascii="黑体" w:hAnsi="黑体" w:eastAsia="黑体" w:cs="黑体"/>
          <w:spacing w:val="-4"/>
          <w:sz w:val="32"/>
        </w:rPr>
      </w:pPr>
    </w:p>
    <w:p>
      <w:pPr>
        <w:spacing w:line="540" w:lineRule="auto"/>
        <w:rPr>
          <w:rFonts w:ascii="黑体" w:hAnsi="黑体" w:eastAsia="黑体" w:cs="黑体"/>
          <w:spacing w:val="-4"/>
          <w:sz w:val="32"/>
        </w:rPr>
      </w:pPr>
    </w:p>
    <w:p>
      <w:pPr>
        <w:spacing w:line="540" w:lineRule="auto"/>
        <w:rPr>
          <w:rFonts w:ascii="黑体" w:hAnsi="黑体" w:eastAsia="黑体" w:cs="黑体"/>
          <w:spacing w:val="-4"/>
          <w:sz w:val="32"/>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新疆巴州和静县</w:t>
      </w:r>
      <w:r>
        <w:rPr>
          <w:rFonts w:hint="eastAsia" w:ascii="方正小标宋_GBK" w:hAnsi="华文中宋" w:eastAsia="方正小标宋_GBK" w:cs="宋体"/>
          <w:b/>
          <w:kern w:val="0"/>
          <w:sz w:val="48"/>
          <w:szCs w:val="48"/>
          <w:lang w:eastAsia="zh-CN"/>
        </w:rPr>
        <w:t>人民</w:t>
      </w:r>
      <w:r>
        <w:rPr>
          <w:rFonts w:hint="eastAsia" w:ascii="方正小标宋_GBK" w:hAnsi="华文中宋" w:eastAsia="方正小标宋_GBK" w:cs="宋体"/>
          <w:b/>
          <w:kern w:val="0"/>
          <w:sz w:val="48"/>
          <w:szCs w:val="48"/>
        </w:rPr>
        <w:t>法院项目支出绩效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auto"/>
        <w:jc w:val="center"/>
        <w:rPr>
          <w:rFonts w:ascii="仿宋" w:hAnsi="仿宋" w:eastAsia="仿宋" w:cs="Times New Roman"/>
          <w:b/>
          <w:bCs/>
          <w:sz w:val="36"/>
        </w:rPr>
      </w:pPr>
      <w:r>
        <w:rPr>
          <w:rFonts w:ascii="仿宋" w:hAnsi="仿宋" w:eastAsia="仿宋" w:cs="宋体"/>
          <w:b/>
          <w:bCs/>
          <w:sz w:val="36"/>
        </w:rPr>
        <w:t>（</w:t>
      </w:r>
      <w:r>
        <w:rPr>
          <w:rFonts w:hint="eastAsia" w:ascii="仿宋" w:hAnsi="仿宋" w:eastAsia="仿宋" w:cs="宋体"/>
          <w:b/>
          <w:bCs/>
          <w:sz w:val="36"/>
        </w:rPr>
        <w:t>2018</w:t>
      </w:r>
      <w:r>
        <w:rPr>
          <w:rFonts w:ascii="仿宋" w:hAnsi="仿宋" w:eastAsia="仿宋" w:cs="宋体"/>
          <w:b/>
          <w:bCs/>
          <w:sz w:val="36"/>
        </w:rPr>
        <w:t>年度）</w:t>
      </w:r>
    </w:p>
    <w:p>
      <w:pPr>
        <w:spacing w:line="540" w:lineRule="auto"/>
        <w:jc w:val="center"/>
        <w:rPr>
          <w:rFonts w:ascii="Times New Roman" w:hAnsi="Times New Roman" w:eastAsia="Times New Roman" w:cs="Times New Roman"/>
          <w:sz w:val="30"/>
        </w:rPr>
      </w:pPr>
    </w:p>
    <w:p>
      <w:pPr>
        <w:spacing w:line="540" w:lineRule="auto"/>
        <w:jc w:val="center"/>
        <w:rPr>
          <w:rFonts w:ascii="Times New Roman" w:hAnsi="Times New Roman" w:eastAsia="Times New Roman" w:cs="Times New Roman"/>
          <w:sz w:val="30"/>
        </w:rPr>
      </w:pPr>
    </w:p>
    <w:p>
      <w:pPr>
        <w:spacing w:line="700" w:lineRule="exact"/>
        <w:jc w:val="left"/>
        <w:rPr>
          <w:rFonts w:ascii="方正小标宋_GBK" w:hAnsi="方正小标宋_GBK" w:eastAsia="方正小标宋_GBK" w:cs="方正小标宋_GBK"/>
          <w:sz w:val="36"/>
        </w:rPr>
      </w:pPr>
    </w:p>
    <w:p>
      <w:pPr>
        <w:spacing w:line="700" w:lineRule="exact"/>
        <w:jc w:val="left"/>
        <w:rPr>
          <w:rFonts w:ascii="方正小标宋_GBK" w:hAnsi="方正小标宋_GBK" w:eastAsia="方正小标宋_GBK" w:cs="方正小标宋_GBK"/>
          <w:sz w:val="36"/>
        </w:rPr>
      </w:pPr>
    </w:p>
    <w:p>
      <w:pPr>
        <w:spacing w:line="700" w:lineRule="exact"/>
        <w:jc w:val="left"/>
        <w:rPr>
          <w:rFonts w:ascii="方正小标宋_GBK" w:hAnsi="方正小标宋_GBK" w:eastAsia="方正小标宋_GBK" w:cs="方正小标宋_GBK"/>
          <w:sz w:val="36"/>
        </w:rPr>
      </w:pPr>
    </w:p>
    <w:p>
      <w:pPr>
        <w:spacing w:line="700" w:lineRule="exact"/>
        <w:jc w:val="left"/>
        <w:rPr>
          <w:rFonts w:ascii="方正小标宋_GBK" w:hAnsi="方正小标宋_GBK" w:eastAsia="方正小标宋_GBK" w:cs="方正小标宋_GBK"/>
          <w:sz w:val="36"/>
        </w:rPr>
      </w:pPr>
    </w:p>
    <w:p>
      <w:pPr>
        <w:pStyle w:val="13"/>
        <w:spacing w:line="700" w:lineRule="exact"/>
        <w:jc w:val="left"/>
        <w:rPr>
          <w:rFonts w:ascii="仿宋_GB2312" w:hAnsi="仿宋_GB2312" w:eastAsia="仿宋_GB2312" w:cs="仿宋_GB2312"/>
          <w:kern w:val="0"/>
          <w:sz w:val="36"/>
          <w:szCs w:val="36"/>
          <w:lang w:val="zh-TW"/>
        </w:rPr>
      </w:pPr>
      <w:r>
        <w:rPr>
          <w:rFonts w:hint="eastAsia" w:ascii="Times New Roman" w:hAnsi="宋体" w:eastAsia="仿宋_GB2312" w:cs="宋体"/>
          <w:kern w:val="0"/>
          <w:sz w:val="36"/>
          <w:szCs w:val="36"/>
        </w:rPr>
        <w:t>项目名称：</w:t>
      </w:r>
      <w:r>
        <w:rPr>
          <w:rFonts w:hint="eastAsia" w:ascii="仿宋_GB2312" w:hAnsi="仿宋_GB2312" w:eastAsia="仿宋_GB2312" w:cs="仿宋_GB2312"/>
          <w:kern w:val="0"/>
          <w:sz w:val="36"/>
          <w:szCs w:val="36"/>
          <w:lang w:val="zh-TW" w:eastAsia="zh-TW"/>
        </w:rPr>
        <w:t>中央政法专项</w:t>
      </w:r>
      <w:r>
        <w:rPr>
          <w:rFonts w:hint="eastAsia" w:ascii="仿宋_GB2312" w:hAnsi="仿宋_GB2312" w:eastAsia="仿宋_GB2312" w:cs="仿宋_GB2312"/>
          <w:kern w:val="0"/>
          <w:sz w:val="36"/>
          <w:szCs w:val="36"/>
          <w:lang w:val="zh-TW"/>
        </w:rPr>
        <w:t>装备</w:t>
      </w:r>
      <w:r>
        <w:rPr>
          <w:rFonts w:hint="eastAsia" w:ascii="仿宋_GB2312" w:hAnsi="仿宋_GB2312" w:eastAsia="仿宋_GB2312" w:cs="仿宋_GB2312"/>
          <w:kern w:val="0"/>
          <w:sz w:val="36"/>
          <w:szCs w:val="36"/>
          <w:lang w:val="zh-TW" w:eastAsia="zh-TW"/>
        </w:rPr>
        <w:t>经费</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实施单位（公章）：和静县人民法院</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主管部门（公章）：和静县人民法院</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项目负责人（签章）：雷新伟</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填报时间：2019年1月23日</w:t>
      </w:r>
    </w:p>
    <w:p>
      <w:pPr>
        <w:spacing w:line="540" w:lineRule="auto"/>
        <w:rPr>
          <w:rFonts w:ascii="黑体" w:hAnsi="黑体" w:eastAsia="黑体" w:cs="黑体"/>
          <w:spacing w:val="-4"/>
          <w:sz w:val="32"/>
        </w:rPr>
      </w:pPr>
    </w:p>
    <w:p>
      <w:pPr>
        <w:spacing w:line="540" w:lineRule="auto"/>
        <w:rPr>
          <w:rFonts w:ascii="黑体" w:hAnsi="黑体" w:eastAsia="黑体" w:cs="黑体"/>
          <w:spacing w:val="-4"/>
          <w:sz w:val="32"/>
        </w:rPr>
      </w:pPr>
    </w:p>
    <w:p>
      <w:pPr>
        <w:spacing w:line="460" w:lineRule="exact"/>
        <w:ind w:firstLine="624" w:firstLineChars="200"/>
        <w:rPr>
          <w:rFonts w:ascii="黑体" w:hAnsi="黑体" w:eastAsia="黑体" w:cs="黑体"/>
          <w:spacing w:val="-4"/>
          <w:sz w:val="32"/>
        </w:rPr>
      </w:pPr>
      <w:r>
        <w:rPr>
          <w:rFonts w:hint="eastAsia" w:ascii="黑体" w:hAnsi="黑体" w:eastAsia="黑体" w:cs="黑体"/>
          <w:spacing w:val="-4"/>
          <w:sz w:val="32"/>
        </w:rPr>
        <w:t>一、项目概况</w:t>
      </w:r>
    </w:p>
    <w:p>
      <w:pPr>
        <w:spacing w:line="460" w:lineRule="exact"/>
        <w:ind w:firstLine="627" w:firstLineChars="200"/>
        <w:rPr>
          <w:rFonts w:ascii="楷体_GB2312" w:hAnsi="仿宋" w:eastAsia="楷体_GB2312" w:cs="楷体"/>
          <w:b/>
          <w:spacing w:val="-4"/>
          <w:sz w:val="32"/>
        </w:rPr>
      </w:pPr>
      <w:r>
        <w:rPr>
          <w:rFonts w:hint="eastAsia" w:ascii="楷体_GB2312" w:hAnsi="仿宋" w:eastAsia="楷体_GB2312" w:cs="楷体"/>
          <w:b/>
          <w:spacing w:val="-4"/>
          <w:sz w:val="32"/>
        </w:rPr>
        <w:t>（一）项目单位基本情况</w:t>
      </w:r>
    </w:p>
    <w:p>
      <w:pPr>
        <w:widowControl/>
        <w:shd w:val="clear" w:color="auto" w:fill="FFFFFF"/>
        <w:spacing w:line="460" w:lineRule="exact"/>
        <w:ind w:firstLine="627" w:firstLineChars="200"/>
        <w:rPr>
          <w:rFonts w:ascii="楷体_GB2312" w:hAnsi="仿宋" w:eastAsia="楷体_GB2312"/>
          <w:sz w:val="32"/>
          <w:szCs w:val="32"/>
        </w:rPr>
      </w:pPr>
      <w:r>
        <w:rPr>
          <w:rFonts w:hint="eastAsia" w:ascii="楷体_GB2312" w:hAnsi="仿宋" w:eastAsia="楷体_GB2312" w:cs="楷体"/>
          <w:b/>
          <w:spacing w:val="-4"/>
          <w:sz w:val="32"/>
          <w:szCs w:val="32"/>
        </w:rPr>
        <w:t>1.单位职能</w:t>
      </w:r>
      <w:r>
        <w:rPr>
          <w:rFonts w:hint="eastAsia" w:ascii="楷体_GB2312" w:hAnsi="仿宋" w:eastAsia="楷体_GB2312"/>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(一)和静县人民法院主要从事辖区内各类民事、刑事、行政案件的立案、审判、执行工作，司法援助工作、法律宣传工作，以及人民法院职责范围内的认定相关有价证券权属及动产权属认定工作。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人民法院常规政务党务及其相关的本职工作。负责辖区内各类民事、刑事、行政案件的立案、调解、审判、执行等相关工作；配合和静县政法委做好辖区内普法宣传工作，并进行相关的司法咨询、司法援助工作；</w:t>
      </w:r>
    </w:p>
    <w:p>
      <w:pPr>
        <w:spacing w:line="600" w:lineRule="exact"/>
        <w:ind w:firstLine="640" w:firstLineChars="200"/>
        <w:rPr>
          <w:rFonts w:ascii="仿宋_GB2312" w:hAnsi="Times New Roman" w:eastAsia="仿宋_GB2312" w:cs="Arial"/>
          <w:sz w:val="32"/>
          <w:szCs w:val="32"/>
        </w:rPr>
      </w:pPr>
      <w:r>
        <w:rPr>
          <w:rFonts w:hint="eastAsia" w:ascii="仿宋_GB2312" w:hAnsi="仿宋_GB2312" w:eastAsia="仿宋_GB2312" w:cs="仿宋_GB2312"/>
          <w:sz w:val="32"/>
          <w:szCs w:val="32"/>
        </w:rPr>
        <w:t>（三）在巴州中级人民法院、和静县委、和静县政法委的带领下做好本单位党务、政务、人事、社会综合治理、社会帮扶、驻村工作等等。</w:t>
      </w:r>
      <w:r>
        <w:rPr>
          <w:rFonts w:hint="eastAsia" w:ascii="仿宋_GB2312" w:hAnsi="Times New Roman" w:eastAsia="仿宋_GB2312" w:cs="Arial"/>
          <w:sz w:val="32"/>
          <w:szCs w:val="32"/>
        </w:rPr>
        <w:t xml:space="preserve"> </w:t>
      </w:r>
    </w:p>
    <w:p>
      <w:pPr>
        <w:spacing w:line="600" w:lineRule="exact"/>
        <w:ind w:firstLine="627" w:firstLineChars="200"/>
        <w:rPr>
          <w:rFonts w:ascii="仿宋_GB2312" w:hAnsi="Times New Roman" w:eastAsia="仿宋_GB2312" w:cs="Arial"/>
          <w:sz w:val="32"/>
          <w:szCs w:val="32"/>
        </w:rPr>
      </w:pPr>
      <w:r>
        <w:rPr>
          <w:rFonts w:hint="eastAsia" w:ascii="楷体_GB2312" w:hAnsi="仿宋" w:eastAsia="楷体_GB2312" w:cs="楷体"/>
          <w:b/>
          <w:spacing w:val="-4"/>
          <w:sz w:val="32"/>
        </w:rPr>
        <w:t>2．机构设置及人员情况：</w:t>
      </w:r>
      <w:r>
        <w:rPr>
          <w:rFonts w:hint="eastAsia" w:ascii="仿宋_GB2312" w:hAnsi="Times New Roman" w:eastAsia="仿宋_GB2312" w:cs="Arial"/>
          <w:sz w:val="32"/>
          <w:szCs w:val="32"/>
        </w:rPr>
        <w:t>和静县人民法院属于行政机关，下设15个科室，分别是：刑事审判庭、民事审判庭、行政审判庭、立案庭、执行庭、审判监督庭、审判管理办公室、法警大队、哈尔莫顿法庭、巴伦台法庭、巴音布鲁克法庭、政工科、行政办公室、研究室、信访办。</w:t>
      </w:r>
    </w:p>
    <w:p>
      <w:pPr>
        <w:spacing w:line="60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我院是财政拨款行政单位，核定编制数为82人，其中：行政编制79人、工勤编制3人；现实有人员108人，其中：在职人员73人，离退休人员35人。</w:t>
      </w:r>
    </w:p>
    <w:p>
      <w:pPr>
        <w:adjustRightInd w:val="0"/>
        <w:snapToGrid w:val="0"/>
        <w:spacing w:line="560" w:lineRule="exact"/>
        <w:ind w:firstLine="627" w:firstLineChars="200"/>
        <w:rPr>
          <w:rFonts w:hint="eastAsia" w:ascii="楷体" w:hAnsi="楷体" w:eastAsia="楷体" w:cs="楷体"/>
          <w:b/>
          <w:bCs/>
          <w:spacing w:val="-4"/>
          <w:sz w:val="32"/>
          <w:szCs w:val="32"/>
        </w:rPr>
      </w:pPr>
      <w:r>
        <w:rPr>
          <w:rFonts w:hint="eastAsia" w:ascii="楷体" w:hAnsi="楷体" w:eastAsia="楷体" w:cs="楷体"/>
          <w:b/>
          <w:bCs/>
          <w:spacing w:val="-4"/>
          <w:sz w:val="32"/>
          <w:szCs w:val="32"/>
        </w:rPr>
        <w:t>2、项目基本性质</w:t>
      </w:r>
    </w:p>
    <w:p>
      <w:pPr>
        <w:adjustRightInd w:val="0"/>
        <w:snapToGrid w:val="0"/>
        <w:spacing w:line="560" w:lineRule="exact"/>
        <w:ind w:firstLine="640" w:firstLineChars="200"/>
        <w:rPr>
          <w:rStyle w:val="12"/>
          <w:rFonts w:hint="eastAsia" w:ascii="仿宋_GB2312" w:hAnsi="仿宋_GB2312" w:eastAsia="仿宋_GB2312" w:cs="仿宋_GB2312"/>
          <w:color w:val="000000"/>
          <w:sz w:val="32"/>
          <w:szCs w:val="32"/>
        </w:rPr>
      </w:pPr>
      <w:r>
        <w:rPr>
          <w:rStyle w:val="12"/>
          <w:rFonts w:hint="eastAsia" w:ascii="仿宋_GB2312" w:hAnsi="仿宋_GB2312" w:eastAsia="仿宋_GB2312" w:cs="仿宋_GB2312"/>
          <w:color w:val="000000"/>
          <w:sz w:val="32"/>
          <w:szCs w:val="32"/>
        </w:rPr>
        <w:t>本项目性质为延续项目。</w:t>
      </w:r>
    </w:p>
    <w:p>
      <w:pPr>
        <w:adjustRightInd w:val="0"/>
        <w:snapToGrid w:val="0"/>
        <w:spacing w:line="560" w:lineRule="exact"/>
        <w:ind w:firstLine="627" w:firstLineChars="200"/>
        <w:rPr>
          <w:rFonts w:ascii="楷体_GB2312" w:eastAsia="楷体_GB2312" w:hAnsiTheme="minorEastAsia"/>
          <w:b/>
          <w:bCs/>
          <w:spacing w:val="-4"/>
          <w:sz w:val="32"/>
          <w:szCs w:val="32"/>
        </w:rPr>
      </w:pPr>
      <w:r>
        <w:rPr>
          <w:rFonts w:hint="eastAsia" w:ascii="楷体_GB2312" w:eastAsia="楷体_GB2312" w:hAnsiTheme="minorEastAsia"/>
          <w:b/>
          <w:bCs/>
          <w:spacing w:val="-4"/>
          <w:sz w:val="32"/>
          <w:szCs w:val="32"/>
        </w:rPr>
        <w:t>3、项目用途及范围</w:t>
      </w:r>
    </w:p>
    <w:p>
      <w:pPr>
        <w:adjustRightInd w:val="0"/>
        <w:snapToGrid w:val="0"/>
        <w:spacing w:line="560" w:lineRule="exact"/>
        <w:ind w:firstLine="624" w:firstLineChars="200"/>
        <w:rPr>
          <w:rFonts w:ascii="仿宋_GB2312" w:eastAsia="仿宋_GB2312" w:hAnsiTheme="minorEastAsia"/>
          <w:bCs/>
          <w:color w:val="000000" w:themeColor="text1"/>
          <w:spacing w:val="-4"/>
          <w:sz w:val="32"/>
          <w:szCs w:val="32"/>
        </w:rPr>
      </w:pPr>
      <w:r>
        <w:rPr>
          <w:rFonts w:hint="eastAsia" w:ascii="仿宋_GB2312" w:eastAsia="仿宋_GB2312" w:hAnsiTheme="minorEastAsia"/>
          <w:bCs/>
          <w:color w:val="000000" w:themeColor="text1"/>
          <w:spacing w:val="-4"/>
          <w:sz w:val="32"/>
          <w:szCs w:val="32"/>
        </w:rPr>
        <w:t>和静县人民法院办案业务经费项目用途主要用于差旅费、维修维护费、邮寄费、劳务费、装备购置费、其他交通费、培训费、印刷费、其他车辆运行维护费等。</w:t>
      </w:r>
    </w:p>
    <w:p>
      <w:pPr>
        <w:adjustRightInd w:val="0"/>
        <w:snapToGrid w:val="0"/>
        <w:spacing w:line="560" w:lineRule="exact"/>
        <w:ind w:firstLine="627" w:firstLineChars="200"/>
        <w:outlineLvl w:val="0"/>
        <w:rPr>
          <w:rStyle w:val="8"/>
          <w:rFonts w:hint="eastAsia" w:ascii="黑体" w:hAnsi="黑体" w:eastAsia="黑体" w:cs="黑体"/>
          <w:b w:val="0"/>
          <w:spacing w:val="-4"/>
          <w:sz w:val="32"/>
          <w:szCs w:val="32"/>
        </w:rPr>
      </w:pPr>
      <w:r>
        <w:rPr>
          <w:rStyle w:val="8"/>
          <w:rFonts w:hint="eastAsia" w:ascii="黑体" w:hAnsi="黑体" w:eastAsia="黑体" w:cs="黑体"/>
          <w:spacing w:val="-4"/>
          <w:sz w:val="32"/>
          <w:szCs w:val="32"/>
        </w:rPr>
        <w:t>二、项目资金使用及管理情况</w:t>
      </w:r>
    </w:p>
    <w:p>
      <w:pPr>
        <w:adjustRightInd w:val="0"/>
        <w:snapToGrid w:val="0"/>
        <w:spacing w:line="560" w:lineRule="exact"/>
        <w:ind w:firstLine="627" w:firstLineChars="200"/>
        <w:outlineLvl w:val="0"/>
        <w:rPr>
          <w:rStyle w:val="8"/>
          <w:rFonts w:ascii="楷体_GB2312" w:eastAsia="楷体_GB2312" w:hAnsiTheme="minorEastAsia"/>
          <w:spacing w:val="-4"/>
          <w:sz w:val="32"/>
          <w:szCs w:val="32"/>
        </w:rPr>
      </w:pPr>
      <w:r>
        <w:rPr>
          <w:rStyle w:val="8"/>
          <w:rFonts w:hint="eastAsia" w:ascii="楷体_GB2312" w:eastAsia="楷体_GB2312" w:hAnsiTheme="minorEastAsia"/>
          <w:spacing w:val="-4"/>
          <w:sz w:val="32"/>
          <w:szCs w:val="32"/>
        </w:rPr>
        <w:t>（一）项目资金安排落实、总投入等情况分析</w:t>
      </w:r>
    </w:p>
    <w:p>
      <w:pPr>
        <w:adjustRightInd w:val="0"/>
        <w:snapToGrid w:val="0"/>
        <w:spacing w:line="560" w:lineRule="exact"/>
        <w:ind w:firstLine="624" w:firstLineChars="200"/>
        <w:rPr>
          <w:rFonts w:ascii="仿宋_GB2312" w:eastAsia="仿宋_GB2312" w:hAnsiTheme="minorEastAsia"/>
          <w:bCs/>
          <w:color w:val="000000" w:themeColor="text1"/>
          <w:spacing w:val="-4"/>
          <w:sz w:val="32"/>
          <w:szCs w:val="32"/>
        </w:rPr>
      </w:pPr>
      <w:r>
        <w:rPr>
          <w:rFonts w:hint="eastAsia" w:ascii="仿宋_GB2312" w:eastAsia="仿宋_GB2312" w:hAnsiTheme="minorEastAsia"/>
          <w:bCs/>
          <w:color w:val="000000" w:themeColor="text1"/>
          <w:spacing w:val="-4"/>
          <w:sz w:val="32"/>
          <w:szCs w:val="32"/>
        </w:rPr>
        <w:t>和静县人民法院办案业务经费项目预算安排总额为54.54万元，其中财政资金54.54万元，2018年实际收到预算资金54.54万元。</w:t>
      </w:r>
    </w:p>
    <w:p>
      <w:pPr>
        <w:adjustRightInd w:val="0"/>
        <w:snapToGrid w:val="0"/>
        <w:spacing w:line="560" w:lineRule="exact"/>
        <w:ind w:firstLine="627" w:firstLineChars="200"/>
        <w:outlineLvl w:val="0"/>
        <w:rPr>
          <w:rStyle w:val="8"/>
          <w:rFonts w:ascii="楷体_GB2312" w:eastAsia="楷体_GB2312" w:hAnsiTheme="minorEastAsia"/>
          <w:spacing w:val="-4"/>
          <w:sz w:val="32"/>
          <w:szCs w:val="32"/>
        </w:rPr>
      </w:pPr>
      <w:r>
        <w:rPr>
          <w:rStyle w:val="8"/>
          <w:rFonts w:hint="eastAsia" w:ascii="楷体_GB2312" w:eastAsia="楷体_GB2312" w:hAnsiTheme="minorEastAsia"/>
          <w:spacing w:val="-4"/>
          <w:sz w:val="32"/>
          <w:szCs w:val="32"/>
        </w:rPr>
        <w:t>（二）项目资金实际使用情况分析</w:t>
      </w:r>
    </w:p>
    <w:p>
      <w:pPr>
        <w:adjustRightInd w:val="0"/>
        <w:snapToGrid w:val="0"/>
        <w:spacing w:line="560" w:lineRule="exact"/>
        <w:ind w:firstLine="624" w:firstLineChars="200"/>
        <w:rPr>
          <w:rFonts w:ascii="仿宋_GB2312" w:eastAsia="仿宋_GB2312" w:hAnsiTheme="minorEastAsia"/>
          <w:bCs/>
          <w:color w:val="000000" w:themeColor="text1"/>
          <w:spacing w:val="-4"/>
          <w:sz w:val="32"/>
          <w:szCs w:val="32"/>
        </w:rPr>
      </w:pPr>
      <w:r>
        <w:rPr>
          <w:rFonts w:hint="eastAsia" w:ascii="仿宋_GB2312" w:eastAsia="仿宋_GB2312" w:hAnsiTheme="minorEastAsia"/>
          <w:bCs/>
          <w:color w:val="000000" w:themeColor="text1"/>
          <w:spacing w:val="-4"/>
          <w:sz w:val="32"/>
          <w:szCs w:val="32"/>
        </w:rPr>
        <w:t>本项目实际支付资金54.54万元，预算执行率100%项目资金主要用于支付办公费用2万元、支付邮电费用2.8万元、支付采暖费21.38万元、支付维修费1.09万元、被装购置费6.72万元、支付劳务费支出 10.8万元、车辆维修费11.54万元。</w:t>
      </w:r>
    </w:p>
    <w:p>
      <w:pPr>
        <w:adjustRightInd w:val="0"/>
        <w:snapToGrid w:val="0"/>
        <w:spacing w:line="560" w:lineRule="exact"/>
        <w:ind w:firstLine="627" w:firstLineChars="200"/>
        <w:outlineLvl w:val="0"/>
        <w:rPr>
          <w:rStyle w:val="8"/>
          <w:rFonts w:ascii="楷体_GB2312" w:eastAsia="楷体_GB2312" w:hAnsiTheme="minorEastAsia"/>
          <w:spacing w:val="-4"/>
          <w:sz w:val="32"/>
          <w:szCs w:val="32"/>
        </w:rPr>
      </w:pPr>
      <w:r>
        <w:rPr>
          <w:rStyle w:val="8"/>
          <w:rFonts w:hint="eastAsia" w:ascii="楷体_GB2312" w:eastAsia="楷体_GB2312" w:hAnsiTheme="minorEastAsia"/>
          <w:spacing w:val="-4"/>
          <w:sz w:val="32"/>
          <w:szCs w:val="32"/>
        </w:rPr>
        <w:t>（三）项目资金管理情况分析</w:t>
      </w:r>
    </w:p>
    <w:p>
      <w:pPr>
        <w:adjustRightInd w:val="0"/>
        <w:snapToGrid w:val="0"/>
        <w:spacing w:line="560" w:lineRule="exact"/>
        <w:ind w:firstLine="624" w:firstLineChars="200"/>
        <w:rPr>
          <w:rStyle w:val="8"/>
          <w:rFonts w:ascii="仿宋_GB2312" w:eastAsia="仿宋_GB2312" w:hAnsiTheme="minorEastAsia"/>
          <w:b w:val="0"/>
          <w:bCs w:val="0"/>
          <w:color w:val="FF0000"/>
          <w:spacing w:val="-4"/>
          <w:sz w:val="32"/>
          <w:szCs w:val="32"/>
        </w:rPr>
      </w:pPr>
      <w:r>
        <w:rPr>
          <w:rFonts w:hint="eastAsia" w:ascii="仿宋_GB2312" w:eastAsia="仿宋_GB2312" w:hAnsiTheme="minorEastAsia"/>
          <w:bCs/>
          <w:color w:val="000000" w:themeColor="text1"/>
          <w:spacing w:val="-4"/>
          <w:sz w:val="32"/>
          <w:szCs w:val="32"/>
        </w:rPr>
        <w:t>本项目支出符合和静县人民法院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7" w:firstLineChars="200"/>
        <w:outlineLvl w:val="0"/>
        <w:rPr>
          <w:rStyle w:val="8"/>
          <w:rFonts w:hint="eastAsia" w:ascii="黑体" w:hAnsi="黑体" w:eastAsia="黑体" w:cs="黑体"/>
          <w:b w:val="0"/>
          <w:spacing w:val="-4"/>
          <w:sz w:val="32"/>
          <w:szCs w:val="32"/>
        </w:rPr>
      </w:pPr>
      <w:r>
        <w:rPr>
          <w:rStyle w:val="8"/>
          <w:rFonts w:hint="eastAsia" w:ascii="黑体" w:hAnsi="黑体" w:eastAsia="黑体" w:cs="黑体"/>
          <w:spacing w:val="-4"/>
          <w:sz w:val="32"/>
          <w:szCs w:val="32"/>
        </w:rPr>
        <w:t>三、项目组织实施情况</w:t>
      </w:r>
    </w:p>
    <w:p>
      <w:pPr>
        <w:adjustRightInd w:val="0"/>
        <w:snapToGrid w:val="0"/>
        <w:spacing w:line="560" w:lineRule="exact"/>
        <w:ind w:firstLine="627" w:firstLineChars="200"/>
        <w:outlineLvl w:val="0"/>
        <w:rPr>
          <w:rStyle w:val="8"/>
          <w:rFonts w:hint="eastAsia" w:ascii="楷体" w:hAnsi="楷体" w:eastAsia="楷体" w:cs="楷体"/>
          <w:spacing w:val="-4"/>
          <w:sz w:val="32"/>
          <w:szCs w:val="32"/>
        </w:rPr>
      </w:pPr>
      <w:r>
        <w:rPr>
          <w:rStyle w:val="8"/>
          <w:rFonts w:hint="eastAsia" w:ascii="楷体" w:hAnsi="楷体" w:eastAsia="楷体" w:cs="楷体"/>
          <w:spacing w:val="-4"/>
          <w:sz w:val="32"/>
          <w:szCs w:val="32"/>
        </w:rPr>
        <w:t>（一）项目组织情况分析</w:t>
      </w:r>
    </w:p>
    <w:p>
      <w:pPr>
        <w:widowControl/>
        <w:shd w:val="clear" w:color="auto" w:fill="FFFFFF"/>
        <w:spacing w:line="30" w:lineRule="atLeast"/>
        <w:ind w:firstLine="624" w:firstLineChars="200"/>
        <w:jc w:val="left"/>
        <w:rPr>
          <w:rStyle w:val="8"/>
          <w:rFonts w:hint="eastAsia" w:ascii="仿宋_GB2312" w:hAnsi="仿宋_GB2312" w:eastAsia="仿宋_GB2312" w:cs="仿宋_GB2312"/>
          <w:b w:val="0"/>
          <w:bCs w:val="0"/>
          <w:color w:val="000000" w:themeColor="text1"/>
          <w:spacing w:val="-4"/>
          <w:sz w:val="32"/>
          <w:szCs w:val="32"/>
        </w:rPr>
      </w:pPr>
      <w:r>
        <w:rPr>
          <w:rStyle w:val="8"/>
          <w:rFonts w:hint="eastAsia" w:ascii="仿宋_GB2312" w:hAnsi="仿宋_GB2312" w:eastAsia="仿宋_GB2312" w:cs="仿宋_GB2312"/>
          <w:b w:val="0"/>
          <w:bCs w:val="0"/>
          <w:color w:val="000000" w:themeColor="text1"/>
          <w:spacing w:val="-4"/>
          <w:sz w:val="32"/>
          <w:szCs w:val="32"/>
        </w:rPr>
        <w:t>该项目属于经常性零星项目,没有达到招投标限额,由本单位自行组织实施。实施过程均按照最高人民法院制定的办案业务经费项目管理制度执行。</w:t>
      </w:r>
    </w:p>
    <w:p>
      <w:pPr>
        <w:widowControl/>
        <w:shd w:val="clear" w:color="auto" w:fill="FFFFFF"/>
        <w:spacing w:line="30" w:lineRule="atLeast"/>
        <w:ind w:firstLine="624" w:firstLineChars="200"/>
        <w:jc w:val="left"/>
        <w:rPr>
          <w:rStyle w:val="8"/>
          <w:rFonts w:hint="eastAsia" w:ascii="仿宋_GB2312" w:hAnsi="仿宋_GB2312" w:eastAsia="仿宋_GB2312" w:cs="仿宋_GB2312"/>
          <w:b w:val="0"/>
          <w:bCs w:val="0"/>
          <w:color w:val="000000" w:themeColor="text1"/>
          <w:spacing w:val="-4"/>
          <w:sz w:val="32"/>
          <w:szCs w:val="32"/>
        </w:rPr>
      </w:pPr>
      <w:r>
        <w:rPr>
          <w:rStyle w:val="8"/>
          <w:rFonts w:hint="eastAsia" w:ascii="仿宋_GB2312" w:hAnsi="仿宋_GB2312" w:eastAsia="仿宋_GB2312" w:cs="仿宋_GB2312"/>
          <w:b w:val="0"/>
          <w:bCs w:val="0"/>
          <w:color w:val="000000" w:themeColor="text1"/>
          <w:spacing w:val="-4"/>
          <w:sz w:val="32"/>
          <w:szCs w:val="32"/>
        </w:rPr>
        <w:t>2018年，和静县人民法院紧紧围绕“让人民群众在每一个司法案件中感受到公平正义”的目标，坚持司法为民、公正司法，推进司法改革，强化过硬队伍建设，各项工作取得了新的进展。检察院2018年办案经费县级配套74.7万元，资金全部到位，资金使用率100%。</w:t>
      </w:r>
    </w:p>
    <w:p>
      <w:pPr>
        <w:adjustRightInd w:val="0"/>
        <w:snapToGrid w:val="0"/>
        <w:spacing w:line="560" w:lineRule="exact"/>
        <w:ind w:firstLine="624" w:firstLineChars="200"/>
        <w:rPr>
          <w:rStyle w:val="8"/>
          <w:rFonts w:hint="eastAsia" w:ascii="仿宋_GB2312" w:hAnsi="仿宋_GB2312" w:eastAsia="仿宋_GB2312" w:cs="仿宋_GB2312"/>
          <w:b w:val="0"/>
          <w:bCs w:val="0"/>
          <w:color w:val="000000" w:themeColor="text1"/>
          <w:spacing w:val="-4"/>
          <w:sz w:val="32"/>
          <w:szCs w:val="32"/>
        </w:rPr>
      </w:pPr>
      <w:r>
        <w:rPr>
          <w:rStyle w:val="8"/>
          <w:rFonts w:hint="eastAsia" w:ascii="仿宋_GB2312" w:hAnsi="仿宋_GB2312" w:eastAsia="仿宋_GB2312" w:cs="仿宋_GB2312"/>
          <w:b w:val="0"/>
          <w:bCs w:val="0"/>
          <w:color w:val="000000" w:themeColor="text1"/>
          <w:spacing w:val="-4"/>
          <w:sz w:val="32"/>
          <w:szCs w:val="32"/>
        </w:rPr>
        <w:t>本项目不存在调整情况。</w:t>
      </w:r>
    </w:p>
    <w:p>
      <w:pPr>
        <w:adjustRightInd w:val="0"/>
        <w:snapToGrid w:val="0"/>
        <w:spacing w:line="560" w:lineRule="exact"/>
        <w:ind w:firstLine="624" w:firstLineChars="200"/>
        <w:rPr>
          <w:rStyle w:val="8"/>
          <w:rFonts w:hint="eastAsia" w:ascii="仿宋_GB2312" w:hAnsi="仿宋_GB2312" w:eastAsia="仿宋_GB2312" w:cs="仿宋_GB2312"/>
          <w:b w:val="0"/>
          <w:bCs w:val="0"/>
          <w:color w:val="000000" w:themeColor="text1"/>
          <w:spacing w:val="-4"/>
          <w:sz w:val="32"/>
          <w:szCs w:val="32"/>
        </w:rPr>
      </w:pPr>
      <w:r>
        <w:rPr>
          <w:rStyle w:val="8"/>
          <w:rFonts w:hint="eastAsia" w:ascii="仿宋_GB2312" w:hAnsi="仿宋_GB2312" w:eastAsia="仿宋_GB2312" w:cs="仿宋_GB2312"/>
          <w:b w:val="0"/>
          <w:bCs w:val="0"/>
          <w:color w:val="000000" w:themeColor="text1"/>
          <w:spacing w:val="-4"/>
          <w:sz w:val="32"/>
          <w:szCs w:val="32"/>
        </w:rPr>
        <w:t>本项目不存在检查验收程序。</w:t>
      </w:r>
    </w:p>
    <w:p>
      <w:pPr>
        <w:adjustRightInd w:val="0"/>
        <w:snapToGrid w:val="0"/>
        <w:spacing w:line="560" w:lineRule="exact"/>
        <w:ind w:firstLine="627" w:firstLineChars="200"/>
        <w:outlineLvl w:val="0"/>
        <w:rPr>
          <w:rStyle w:val="8"/>
          <w:rFonts w:hint="eastAsia" w:ascii="楷体" w:hAnsi="楷体" w:eastAsia="楷体" w:cs="楷体"/>
          <w:spacing w:val="-4"/>
          <w:sz w:val="32"/>
          <w:szCs w:val="32"/>
        </w:rPr>
      </w:pPr>
      <w:r>
        <w:rPr>
          <w:rStyle w:val="8"/>
          <w:rFonts w:hint="eastAsia" w:ascii="楷体" w:hAnsi="楷体" w:eastAsia="楷体" w:cs="楷体"/>
          <w:spacing w:val="-4"/>
          <w:sz w:val="32"/>
          <w:szCs w:val="32"/>
        </w:rPr>
        <w:t>（二）项目管理情况分析</w:t>
      </w:r>
    </w:p>
    <w:p>
      <w:pPr>
        <w:widowControl/>
        <w:shd w:val="clear" w:color="auto" w:fill="FFFFFF"/>
        <w:spacing w:line="30" w:lineRule="atLeast"/>
        <w:ind w:firstLine="624" w:firstLineChars="200"/>
        <w:jc w:val="left"/>
        <w:rPr>
          <w:rFonts w:hint="eastAsia"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法院资金管理工作在院党组领导下，由办公室具体负责管理。一是认真贯彻执行中央八项规定精神，严格按要求控制公务用车购置和运行维护、培训等经费支出，降低检察工作成本；二是资金使用按照《和静县人民</w:t>
      </w:r>
      <w:r>
        <w:rPr>
          <w:rFonts w:hint="eastAsia" w:ascii="仿宋_GB2312" w:hAnsi="仿宋_GB2312" w:eastAsia="仿宋_GB2312" w:cs="仿宋_GB2312"/>
          <w:bCs/>
          <w:color w:val="000000" w:themeColor="text1"/>
          <w:spacing w:val="-4"/>
          <w:sz w:val="32"/>
          <w:szCs w:val="32"/>
          <w:lang w:val="en-US" w:eastAsia="zh-CN"/>
        </w:rPr>
        <w:t>法</w:t>
      </w:r>
      <w:r>
        <w:rPr>
          <w:rFonts w:hint="eastAsia" w:ascii="仿宋_GB2312" w:hAnsi="仿宋_GB2312" w:eastAsia="仿宋_GB2312" w:cs="仿宋_GB2312"/>
          <w:bCs/>
          <w:color w:val="000000" w:themeColor="text1"/>
          <w:spacing w:val="-4"/>
          <w:sz w:val="32"/>
          <w:szCs w:val="32"/>
        </w:rPr>
        <w:t>院财务管理制度》、《和静县人民法院机关事务管理规定》等规定执行，做到以制度管人管事管钱；三是严格预算管理，实行资金使用按权限审批、大额开支院党组集体研究，做到无预算不开支，减少开支随意性。</w:t>
      </w:r>
    </w:p>
    <w:p>
      <w:pPr>
        <w:widowControl/>
        <w:shd w:val="clear" w:color="auto" w:fill="FFFFFF"/>
        <w:spacing w:line="30" w:lineRule="atLeast"/>
        <w:ind w:firstLine="624" w:firstLineChars="200"/>
        <w:jc w:val="left"/>
        <w:rPr>
          <w:rFonts w:hint="eastAsia"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从财务支出审查情况看，财务管理制度总体较健全，会计核算真实、完整、及时，用款程序规范，项目各项支出基本合理，但内部控制制度有待加强。</w:t>
      </w:r>
    </w:p>
    <w:p>
      <w:pPr>
        <w:adjustRightInd w:val="0"/>
        <w:snapToGrid w:val="0"/>
        <w:spacing w:line="560" w:lineRule="exact"/>
        <w:ind w:firstLine="627" w:firstLineChars="200"/>
        <w:outlineLvl w:val="0"/>
        <w:rPr>
          <w:rStyle w:val="8"/>
          <w:rFonts w:hint="eastAsia" w:ascii="黑体" w:hAnsi="黑体" w:eastAsia="黑体" w:cs="黑体"/>
          <w:sz w:val="32"/>
          <w:szCs w:val="32"/>
        </w:rPr>
      </w:pPr>
      <w:r>
        <w:rPr>
          <w:rStyle w:val="8"/>
          <w:rFonts w:hint="eastAsia" w:ascii="黑体" w:hAnsi="黑体" w:eastAsia="黑体" w:cs="黑体"/>
          <w:spacing w:val="-4"/>
          <w:sz w:val="32"/>
          <w:szCs w:val="32"/>
        </w:rPr>
        <w:t>四、项目绩效情况</w:t>
      </w:r>
    </w:p>
    <w:p>
      <w:pPr>
        <w:adjustRightInd w:val="0"/>
        <w:snapToGrid w:val="0"/>
        <w:spacing w:line="560" w:lineRule="exact"/>
        <w:ind w:firstLine="627" w:firstLineChars="200"/>
        <w:outlineLvl w:val="0"/>
        <w:rPr>
          <w:rFonts w:hint="eastAsia" w:ascii="楷体" w:hAnsi="楷体" w:eastAsia="楷体" w:cs="楷体"/>
          <w:b/>
          <w:spacing w:val="-4"/>
          <w:sz w:val="32"/>
          <w:szCs w:val="32"/>
        </w:rPr>
      </w:pPr>
      <w:r>
        <w:rPr>
          <w:rFonts w:hint="eastAsia" w:ascii="楷体" w:hAnsi="楷体" w:eastAsia="楷体" w:cs="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320" w:firstLineChars="100"/>
        <w:textAlignment w:val="auto"/>
        <w:rPr>
          <w:rFonts w:hint="eastAsia" w:ascii="仿宋_GB2312" w:hAnsi="仿宋_GB2312" w:eastAsia="仿宋_GB2312" w:cs="仿宋_GB2312"/>
          <w:bCs/>
          <w:color w:val="000000" w:themeColor="text1"/>
          <w:spacing w:val="0"/>
          <w:sz w:val="32"/>
          <w:szCs w:val="32"/>
        </w:rPr>
      </w:pPr>
      <w:r>
        <w:rPr>
          <w:rFonts w:hint="eastAsia" w:ascii="仿宋_GB2312" w:hAnsi="仿宋_GB2312" w:eastAsia="仿宋_GB2312" w:cs="仿宋_GB2312"/>
          <w:kern w:val="0"/>
          <w:sz w:val="32"/>
          <w:szCs w:val="32"/>
          <w:shd w:val="clear" w:color="auto" w:fill="FFFFFF"/>
        </w:rPr>
        <w:t>　</w:t>
      </w:r>
      <w:r>
        <w:rPr>
          <w:rFonts w:hint="eastAsia" w:ascii="仿宋_GB2312" w:hAnsi="仿宋_GB2312" w:eastAsia="仿宋_GB2312" w:cs="仿宋_GB2312"/>
          <w:bCs/>
          <w:color w:val="000000" w:themeColor="text1"/>
          <w:spacing w:val="0"/>
          <w:sz w:val="32"/>
          <w:szCs w:val="32"/>
        </w:rPr>
        <w:t xml:space="preserve"> 1．投入目标完成情况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Cs/>
          <w:color w:val="000000" w:themeColor="text1"/>
          <w:spacing w:val="0"/>
          <w:sz w:val="32"/>
          <w:szCs w:val="32"/>
        </w:rPr>
      </w:pPr>
      <w:r>
        <w:rPr>
          <w:rFonts w:hint="eastAsia" w:ascii="仿宋_GB2312" w:hAnsi="仿宋_GB2312" w:eastAsia="仿宋_GB2312" w:cs="仿宋_GB2312"/>
          <w:bCs/>
          <w:color w:val="000000" w:themeColor="text1"/>
          <w:spacing w:val="0"/>
          <w:sz w:val="32"/>
          <w:szCs w:val="32"/>
        </w:rPr>
        <w:t>2018年，和静县人民法院紧紧围绕“让人民群众在每一个司法案件中感受到公平正义”的目标，坚持司法为民、公正司法，推进司法改革，强化过硬队伍建设，各项工作取得了新的进展。</w:t>
      </w:r>
      <w:r>
        <w:rPr>
          <w:rFonts w:hint="eastAsia" w:ascii="仿宋_GB2312" w:hAnsi="仿宋_GB2312" w:eastAsia="仿宋_GB2312" w:cs="仿宋_GB2312"/>
          <w:bCs/>
          <w:color w:val="000000" w:themeColor="text1"/>
          <w:spacing w:val="0"/>
          <w:sz w:val="32"/>
          <w:szCs w:val="32"/>
          <w:lang w:val="en-US" w:eastAsia="zh-CN"/>
        </w:rPr>
        <w:t>法</w:t>
      </w:r>
      <w:r>
        <w:rPr>
          <w:rFonts w:hint="eastAsia" w:ascii="仿宋_GB2312" w:hAnsi="仿宋_GB2312" w:eastAsia="仿宋_GB2312" w:cs="仿宋_GB2312"/>
          <w:bCs/>
          <w:color w:val="000000" w:themeColor="text1"/>
          <w:spacing w:val="0"/>
          <w:sz w:val="32"/>
          <w:szCs w:val="32"/>
        </w:rPr>
        <w:t>院2018年办案经费县级配套74.7万元，资金全部到位，资金使用率100%。</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Cs/>
          <w:color w:val="000000" w:themeColor="text1"/>
          <w:spacing w:val="0"/>
          <w:sz w:val="32"/>
          <w:szCs w:val="32"/>
        </w:rPr>
      </w:pPr>
      <w:r>
        <w:rPr>
          <w:rFonts w:hint="eastAsia" w:ascii="仿宋_GB2312" w:hAnsi="仿宋_GB2312" w:eastAsia="仿宋_GB2312" w:cs="仿宋_GB2312"/>
          <w:bCs/>
          <w:color w:val="000000" w:themeColor="text1"/>
          <w:spacing w:val="0"/>
          <w:sz w:val="32"/>
          <w:szCs w:val="32"/>
        </w:rPr>
        <w:t xml:space="preserve">产出目标完成情况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Cs/>
          <w:color w:val="000000" w:themeColor="text1"/>
          <w:spacing w:val="0"/>
          <w:sz w:val="32"/>
          <w:szCs w:val="32"/>
        </w:rPr>
      </w:pPr>
      <w:r>
        <w:rPr>
          <w:rFonts w:hint="eastAsia" w:ascii="仿宋_GB2312" w:hAnsi="仿宋_GB2312" w:eastAsia="仿宋_GB2312" w:cs="仿宋_GB2312"/>
          <w:bCs/>
          <w:color w:val="000000" w:themeColor="text1"/>
          <w:spacing w:val="0"/>
          <w:sz w:val="32"/>
          <w:szCs w:val="32"/>
          <w:lang w:val="en-US" w:eastAsia="zh-CN"/>
        </w:rPr>
        <w:t>法</w:t>
      </w:r>
      <w:r>
        <w:rPr>
          <w:rFonts w:hint="eastAsia" w:ascii="仿宋_GB2312" w:hAnsi="仿宋_GB2312" w:eastAsia="仿宋_GB2312" w:cs="仿宋_GB2312"/>
          <w:bCs/>
          <w:color w:val="000000" w:themeColor="text1"/>
          <w:spacing w:val="0"/>
          <w:sz w:val="32"/>
          <w:szCs w:val="32"/>
        </w:rPr>
        <w:t>院受理各类案件 1002件，其中刑事案件受理数844件，民商事案件受理数128件，申诉、涉诉上访案件受理数29件，审结844件，其中刑事案件结案数843件，民商事案件结案数128件，申诉案件数29件。</w:t>
      </w:r>
    </w:p>
    <w:p>
      <w:pPr>
        <w:adjustRightInd w:val="0"/>
        <w:snapToGrid w:val="0"/>
        <w:spacing w:line="560" w:lineRule="exact"/>
        <w:ind w:firstLine="624" w:firstLineChars="200"/>
        <w:rPr>
          <w:rFonts w:hint="eastAsia"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3.效益目标完成情况</w:t>
      </w:r>
    </w:p>
    <w:p>
      <w:pPr>
        <w:adjustRightInd w:val="0"/>
        <w:snapToGrid w:val="0"/>
        <w:spacing w:line="560" w:lineRule="exact"/>
        <w:ind w:firstLine="624" w:firstLineChars="200"/>
        <w:rPr>
          <w:rFonts w:hint="eastAsia"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在法院审限内结案；增加案件</w:t>
      </w:r>
      <w:r>
        <w:rPr>
          <w:rFonts w:hint="eastAsia" w:ascii="仿宋_GB2312" w:hAnsi="仿宋_GB2312" w:eastAsia="仿宋_GB2312" w:cs="仿宋_GB2312"/>
          <w:bCs/>
          <w:color w:val="000000" w:themeColor="text1"/>
          <w:spacing w:val="-4"/>
          <w:sz w:val="32"/>
          <w:szCs w:val="32"/>
          <w:lang w:val="en-US" w:eastAsia="zh-CN"/>
        </w:rPr>
        <w:t>审判</w:t>
      </w:r>
      <w:r>
        <w:rPr>
          <w:rFonts w:hint="eastAsia" w:ascii="仿宋_GB2312" w:hAnsi="仿宋_GB2312" w:eastAsia="仿宋_GB2312" w:cs="仿宋_GB2312"/>
          <w:bCs/>
          <w:color w:val="000000" w:themeColor="text1"/>
          <w:spacing w:val="-4"/>
          <w:sz w:val="32"/>
          <w:szCs w:val="32"/>
        </w:rPr>
        <w:t>的透明度，促进社会公平正义，未出现造成不良影响的事件；当事人对案件</w:t>
      </w:r>
      <w:r>
        <w:rPr>
          <w:rFonts w:hint="eastAsia" w:ascii="仿宋_GB2312" w:hAnsi="仿宋_GB2312" w:eastAsia="仿宋_GB2312" w:cs="仿宋_GB2312"/>
          <w:bCs/>
          <w:color w:val="000000" w:themeColor="text1"/>
          <w:spacing w:val="-4"/>
          <w:sz w:val="32"/>
          <w:szCs w:val="32"/>
          <w:lang w:val="en-US" w:eastAsia="zh-CN"/>
        </w:rPr>
        <w:t>审判</w:t>
      </w:r>
      <w:r>
        <w:rPr>
          <w:rFonts w:hint="eastAsia" w:ascii="仿宋_GB2312" w:hAnsi="仿宋_GB2312" w:eastAsia="仿宋_GB2312" w:cs="仿宋_GB2312"/>
          <w:bCs/>
          <w:color w:val="000000" w:themeColor="text1"/>
          <w:spacing w:val="-4"/>
          <w:sz w:val="32"/>
          <w:szCs w:val="32"/>
        </w:rPr>
        <w:t>工作满意提升，</w:t>
      </w:r>
      <w:r>
        <w:rPr>
          <w:rFonts w:hint="eastAsia" w:ascii="仿宋_GB2312" w:hAnsi="仿宋_GB2312" w:eastAsia="仿宋_GB2312" w:cs="仿宋_GB2312"/>
          <w:bCs/>
          <w:color w:val="000000" w:themeColor="text1"/>
          <w:spacing w:val="-4"/>
          <w:sz w:val="32"/>
          <w:szCs w:val="32"/>
          <w:lang w:val="en-US" w:eastAsia="zh-CN"/>
        </w:rPr>
        <w:t>审判</w:t>
      </w:r>
      <w:r>
        <w:rPr>
          <w:rFonts w:hint="eastAsia" w:ascii="仿宋_GB2312" w:hAnsi="仿宋_GB2312" w:eastAsia="仿宋_GB2312" w:cs="仿宋_GB2312"/>
          <w:bCs/>
          <w:color w:val="000000" w:themeColor="text1"/>
          <w:spacing w:val="-4"/>
          <w:sz w:val="32"/>
          <w:szCs w:val="32"/>
        </w:rPr>
        <w:t>工作有力惩处了各类犯罪，保护人民群众合法权益，维护社会安定稳定，促进经济社会健康发展，维护社会公平正义。</w:t>
      </w:r>
    </w:p>
    <w:p>
      <w:pPr>
        <w:adjustRightInd w:val="0"/>
        <w:snapToGrid w:val="0"/>
        <w:spacing w:line="560" w:lineRule="exact"/>
        <w:ind w:firstLine="627" w:firstLineChars="200"/>
        <w:outlineLvl w:val="0"/>
        <w:rPr>
          <w:rFonts w:hint="eastAsia" w:ascii="楷体" w:hAnsi="楷体" w:eastAsia="楷体" w:cs="楷体"/>
          <w:b/>
          <w:spacing w:val="-4"/>
          <w:sz w:val="32"/>
          <w:szCs w:val="32"/>
        </w:rPr>
      </w:pPr>
      <w:r>
        <w:rPr>
          <w:rFonts w:hint="eastAsia" w:ascii="楷体" w:hAnsi="楷体" w:eastAsia="楷体" w:cs="楷体"/>
          <w:b/>
          <w:spacing w:val="-4"/>
          <w:sz w:val="32"/>
          <w:szCs w:val="32"/>
        </w:rPr>
        <w:t>（二）项目绩效目标未完成原因分析</w:t>
      </w:r>
    </w:p>
    <w:p>
      <w:pPr>
        <w:adjustRightInd w:val="0"/>
        <w:snapToGrid w:val="0"/>
        <w:spacing w:line="560" w:lineRule="exact"/>
        <w:ind w:firstLine="624" w:firstLineChars="200"/>
        <w:rPr>
          <w:rFonts w:hint="eastAsia" w:ascii="仿宋_GB2312" w:hAnsi="仿宋_GB2312" w:eastAsia="仿宋_GB2312" w:cs="仿宋_GB2312"/>
          <w:color w:val="000000" w:themeColor="text1"/>
          <w:spacing w:val="-4"/>
          <w:sz w:val="32"/>
          <w:szCs w:val="32"/>
        </w:rPr>
      </w:pPr>
      <w:r>
        <w:rPr>
          <w:rFonts w:hint="eastAsia" w:ascii="仿宋_GB2312" w:hAnsi="仿宋_GB2312" w:eastAsia="仿宋_GB2312" w:cs="仿宋_GB2312"/>
          <w:color w:val="000000" w:themeColor="text1"/>
          <w:spacing w:val="-4"/>
          <w:sz w:val="32"/>
          <w:szCs w:val="32"/>
        </w:rPr>
        <w:t>2018年本项目绩效目标全部达成，不存在未完成原因分析。</w:t>
      </w:r>
    </w:p>
    <w:p>
      <w:pPr>
        <w:adjustRightInd w:val="0"/>
        <w:snapToGrid w:val="0"/>
        <w:spacing w:line="560" w:lineRule="exact"/>
        <w:ind w:firstLine="627" w:firstLineChars="200"/>
        <w:outlineLvl w:val="0"/>
        <w:rPr>
          <w:rStyle w:val="8"/>
          <w:rFonts w:hint="eastAsia" w:ascii="黑体" w:hAnsi="黑体" w:eastAsia="黑体" w:cs="黑体"/>
          <w:b w:val="0"/>
          <w:spacing w:val="-4"/>
          <w:sz w:val="32"/>
          <w:szCs w:val="32"/>
        </w:rPr>
      </w:pPr>
      <w:r>
        <w:rPr>
          <w:rStyle w:val="8"/>
          <w:rFonts w:hint="eastAsia" w:ascii="黑体" w:hAnsi="黑体" w:eastAsia="黑体" w:cs="黑体"/>
          <w:spacing w:val="-4"/>
          <w:sz w:val="32"/>
          <w:szCs w:val="32"/>
        </w:rPr>
        <w:t>五、其他需要说明的问题</w:t>
      </w:r>
    </w:p>
    <w:p>
      <w:pPr>
        <w:adjustRightInd w:val="0"/>
        <w:snapToGrid w:val="0"/>
        <w:spacing w:line="560" w:lineRule="exact"/>
        <w:ind w:firstLine="627" w:firstLineChars="200"/>
        <w:outlineLvl w:val="0"/>
        <w:rPr>
          <w:rFonts w:hint="eastAsia" w:ascii="楷体" w:hAnsi="楷体" w:eastAsia="楷体" w:cs="楷体"/>
          <w:b/>
          <w:spacing w:val="-4"/>
          <w:sz w:val="32"/>
          <w:szCs w:val="32"/>
        </w:rPr>
      </w:pPr>
      <w:r>
        <w:rPr>
          <w:rFonts w:hint="eastAsia" w:ascii="楷体" w:hAnsi="楷体" w:eastAsia="楷体" w:cs="楷体"/>
          <w:b/>
          <w:spacing w:val="-4"/>
          <w:sz w:val="32"/>
          <w:szCs w:val="32"/>
        </w:rPr>
        <w:t>（一）后续工作计划</w:t>
      </w:r>
    </w:p>
    <w:p>
      <w:pPr>
        <w:adjustRightInd w:val="0"/>
        <w:snapToGrid w:val="0"/>
        <w:spacing w:line="560" w:lineRule="exact"/>
        <w:ind w:firstLine="624" w:firstLineChars="200"/>
        <w:rPr>
          <w:rFonts w:hint="eastAsia" w:ascii="仿宋_GB2312" w:hAnsi="仿宋_GB2312" w:eastAsia="仿宋_GB2312" w:cs="仿宋_GB2312"/>
          <w:b/>
          <w:spacing w:val="-4"/>
          <w:sz w:val="32"/>
          <w:szCs w:val="32"/>
        </w:rPr>
      </w:pPr>
      <w:r>
        <w:rPr>
          <w:rFonts w:hint="eastAsia" w:ascii="仿宋_GB2312" w:hAnsi="仿宋_GB2312" w:eastAsia="仿宋_GB2312" w:cs="仿宋_GB2312"/>
          <w:bCs/>
          <w:color w:val="000000" w:themeColor="text1"/>
          <w:spacing w:val="-4"/>
          <w:sz w:val="32"/>
          <w:szCs w:val="32"/>
        </w:rPr>
        <w:t>2018年，我院认真按照最高人民法院及县财政局的要求开展了贯穿项目管理和预算执行全过程的预算绩效管理工作，结合部门年度预算编制同步编报绩效目标，开展绩效监控，对财政支出绩效和绩效管理工作进行自评，形成了较为完整的预算绩效管理体系。制定的绩效目标、自评指标充分体现</w:t>
      </w:r>
      <w:r>
        <w:rPr>
          <w:rFonts w:hint="eastAsia" w:ascii="仿宋_GB2312" w:hAnsi="仿宋_GB2312" w:eastAsia="仿宋_GB2312" w:cs="仿宋_GB2312"/>
          <w:bCs/>
          <w:color w:val="000000" w:themeColor="text1"/>
          <w:spacing w:val="-4"/>
          <w:sz w:val="32"/>
          <w:szCs w:val="32"/>
          <w:lang w:val="en-US" w:eastAsia="zh-CN"/>
        </w:rPr>
        <w:t>法院</w:t>
      </w:r>
      <w:r>
        <w:rPr>
          <w:rFonts w:hint="eastAsia" w:ascii="仿宋_GB2312" w:hAnsi="仿宋_GB2312" w:eastAsia="仿宋_GB2312" w:cs="仿宋_GB2312"/>
          <w:bCs/>
          <w:color w:val="000000" w:themeColor="text1"/>
          <w:spacing w:val="-4"/>
          <w:sz w:val="32"/>
          <w:szCs w:val="32"/>
        </w:rPr>
        <w:t>工作特点，实现目标科学合理，评价客观有效。2018年度的绩效管理工作情况除了在单位内部公开，还专项报告最高人民</w:t>
      </w:r>
      <w:r>
        <w:rPr>
          <w:rFonts w:hint="eastAsia" w:ascii="仿宋_GB2312" w:hAnsi="仿宋_GB2312" w:eastAsia="仿宋_GB2312" w:cs="仿宋_GB2312"/>
          <w:bCs/>
          <w:color w:val="000000" w:themeColor="text1"/>
          <w:spacing w:val="-4"/>
          <w:sz w:val="32"/>
          <w:szCs w:val="32"/>
          <w:lang w:val="en-US" w:eastAsia="zh-CN"/>
        </w:rPr>
        <w:t>法</w:t>
      </w:r>
      <w:r>
        <w:rPr>
          <w:rFonts w:hint="eastAsia" w:ascii="仿宋_GB2312" w:hAnsi="仿宋_GB2312" w:eastAsia="仿宋_GB2312" w:cs="仿宋_GB2312"/>
          <w:bCs/>
          <w:color w:val="000000" w:themeColor="text1"/>
          <w:spacing w:val="-4"/>
          <w:sz w:val="32"/>
          <w:szCs w:val="32"/>
        </w:rPr>
        <w:t>院，在编制部门预算工作中，也结合绩效管理情况，提出相关意见和建议，促进预算编制更加科学合理，在绩效结果公开和应用方面进行了有益的探索。</w:t>
      </w:r>
    </w:p>
    <w:p>
      <w:pPr>
        <w:adjustRightInd w:val="0"/>
        <w:snapToGrid w:val="0"/>
        <w:spacing w:line="560" w:lineRule="exact"/>
        <w:ind w:firstLine="627" w:firstLineChars="200"/>
        <w:outlineLvl w:val="0"/>
        <w:rPr>
          <w:rFonts w:hint="eastAsia" w:ascii="楷体" w:hAnsi="楷体" w:eastAsia="楷体" w:cs="楷体"/>
          <w:bCs/>
          <w:color w:val="FF0000"/>
          <w:spacing w:val="-4"/>
          <w:sz w:val="32"/>
          <w:szCs w:val="32"/>
        </w:rPr>
      </w:pPr>
      <w:r>
        <w:rPr>
          <w:rFonts w:hint="eastAsia" w:ascii="楷体" w:hAnsi="楷体" w:eastAsia="楷体" w:cs="楷体"/>
          <w:b/>
          <w:spacing w:val="-4"/>
          <w:sz w:val="32"/>
          <w:szCs w:val="32"/>
        </w:rPr>
        <w:t>（二）主要经验及做法、存在问题和建议</w:t>
      </w:r>
    </w:p>
    <w:p>
      <w:pPr>
        <w:numPr>
          <w:ilvl w:val="0"/>
          <w:numId w:val="2"/>
        </w:numPr>
        <w:adjustRightInd w:val="0"/>
        <w:snapToGrid w:val="0"/>
        <w:spacing w:line="560" w:lineRule="exact"/>
        <w:ind w:firstLine="624" w:firstLineChars="200"/>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主要经验及做法</w:t>
      </w:r>
    </w:p>
    <w:p>
      <w:pPr>
        <w:keepNext w:val="0"/>
        <w:keepLines w:val="0"/>
        <w:pageBreakBefore w:val="0"/>
        <w:widowControl w:val="0"/>
        <w:kinsoku w:val="0"/>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Cs/>
          <w:color w:val="000000" w:themeColor="text1"/>
          <w:spacing w:val="0"/>
          <w:sz w:val="32"/>
          <w:szCs w:val="32"/>
        </w:rPr>
      </w:pPr>
      <w:r>
        <w:rPr>
          <w:rFonts w:hint="eastAsia" w:ascii="仿宋_GB2312" w:hAnsi="仿宋_GB2312" w:eastAsia="仿宋_GB2312" w:cs="仿宋_GB2312"/>
          <w:bCs/>
          <w:color w:val="000000" w:themeColor="text1"/>
          <w:spacing w:val="0"/>
          <w:sz w:val="32"/>
          <w:szCs w:val="32"/>
        </w:rPr>
        <w:t>一年来，和静县人民法院依法履行</w:t>
      </w:r>
      <w:r>
        <w:rPr>
          <w:rFonts w:hint="eastAsia" w:ascii="仿宋_GB2312" w:hAnsi="仿宋_GB2312" w:eastAsia="仿宋_GB2312" w:cs="仿宋_GB2312"/>
          <w:bCs/>
          <w:color w:val="000000" w:themeColor="text1"/>
          <w:spacing w:val="0"/>
          <w:sz w:val="32"/>
          <w:szCs w:val="32"/>
          <w:lang w:val="en-US" w:eastAsia="zh-CN"/>
        </w:rPr>
        <w:t>审判</w:t>
      </w:r>
      <w:r>
        <w:rPr>
          <w:rFonts w:hint="eastAsia" w:ascii="仿宋_GB2312" w:hAnsi="仿宋_GB2312" w:eastAsia="仿宋_GB2312" w:cs="仿宋_GB2312"/>
          <w:bCs/>
          <w:color w:val="000000" w:themeColor="text1"/>
          <w:spacing w:val="0"/>
          <w:sz w:val="32"/>
          <w:szCs w:val="32"/>
        </w:rPr>
        <w:t>职责，严格公正司法，但由于案件大幅增长，疑难复杂重大敏感案件不断增多，化解矛盾纠纷的难度也不断加大，</w:t>
      </w:r>
      <w:r>
        <w:rPr>
          <w:rFonts w:hint="eastAsia" w:ascii="仿宋_GB2312" w:hAnsi="仿宋_GB2312" w:eastAsia="仿宋_GB2312" w:cs="仿宋_GB2312"/>
          <w:bCs/>
          <w:color w:val="000000" w:themeColor="text1"/>
          <w:spacing w:val="0"/>
          <w:sz w:val="32"/>
          <w:szCs w:val="32"/>
          <w:lang w:val="en-US" w:eastAsia="zh-CN"/>
        </w:rPr>
        <w:t>法院</w:t>
      </w:r>
      <w:r>
        <w:rPr>
          <w:rFonts w:hint="eastAsia" w:ascii="仿宋_GB2312" w:hAnsi="仿宋_GB2312" w:eastAsia="仿宋_GB2312" w:cs="仿宋_GB2312"/>
          <w:bCs/>
          <w:color w:val="000000" w:themeColor="text1"/>
          <w:spacing w:val="0"/>
          <w:sz w:val="32"/>
          <w:szCs w:val="32"/>
        </w:rPr>
        <w:t>工作中出现了一些问题和困难，有待在今后工作中采取有效措施认真加以解决。</w:t>
      </w:r>
    </w:p>
    <w:p>
      <w:pPr>
        <w:keepNext w:val="0"/>
        <w:keepLines w:val="0"/>
        <w:pageBreakBefore w:val="0"/>
        <w:widowControl w:val="0"/>
        <w:numPr>
          <w:ilvl w:val="0"/>
          <w:numId w:val="2"/>
        </w:numPr>
        <w:kinsoku w:val="0"/>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Cs/>
          <w:color w:val="000000" w:themeColor="text1"/>
          <w:spacing w:val="0"/>
          <w:sz w:val="32"/>
          <w:szCs w:val="32"/>
        </w:rPr>
      </w:pPr>
      <w:r>
        <w:rPr>
          <w:rFonts w:hint="eastAsia" w:ascii="仿宋_GB2312" w:hAnsi="仿宋_GB2312" w:eastAsia="仿宋_GB2312" w:cs="仿宋_GB2312"/>
          <w:bCs/>
          <w:color w:val="000000" w:themeColor="text1"/>
          <w:spacing w:val="0"/>
          <w:sz w:val="32"/>
          <w:szCs w:val="32"/>
        </w:rPr>
        <w:t>存在的问题</w:t>
      </w:r>
    </w:p>
    <w:p>
      <w:pPr>
        <w:keepNext w:val="0"/>
        <w:keepLines w:val="0"/>
        <w:pageBreakBefore w:val="0"/>
        <w:widowControl w:val="0"/>
        <w:numPr>
          <w:ilvl w:val="0"/>
          <w:numId w:val="0"/>
        </w:numPr>
        <w:kinsoku w:val="0"/>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themeColor="text1"/>
          <w:spacing w:val="0"/>
          <w:sz w:val="32"/>
          <w:szCs w:val="32"/>
        </w:rPr>
      </w:pPr>
      <w:r>
        <w:rPr>
          <w:rFonts w:hint="eastAsia" w:ascii="仿宋_GB2312" w:hAnsi="仿宋_GB2312" w:eastAsia="仿宋_GB2312" w:cs="仿宋_GB2312"/>
          <w:bCs/>
          <w:color w:val="000000" w:themeColor="text1"/>
          <w:spacing w:val="0"/>
          <w:sz w:val="32"/>
          <w:szCs w:val="32"/>
          <w:lang w:val="en-US" w:eastAsia="zh-CN"/>
        </w:rPr>
        <w:t>审判执行</w:t>
      </w:r>
      <w:r>
        <w:rPr>
          <w:rFonts w:hint="eastAsia" w:ascii="仿宋_GB2312" w:hAnsi="仿宋_GB2312" w:eastAsia="仿宋_GB2312" w:cs="仿宋_GB2312"/>
          <w:bCs/>
          <w:color w:val="000000" w:themeColor="text1"/>
          <w:spacing w:val="0"/>
          <w:sz w:val="32"/>
          <w:szCs w:val="32"/>
        </w:rPr>
        <w:t>任务繁重的情况下，</w:t>
      </w:r>
      <w:r>
        <w:rPr>
          <w:rFonts w:hint="eastAsia" w:ascii="仿宋_GB2312" w:hAnsi="仿宋_GB2312" w:eastAsia="仿宋_GB2312" w:cs="仿宋_GB2312"/>
          <w:bCs/>
          <w:color w:val="000000" w:themeColor="text1"/>
          <w:spacing w:val="0"/>
          <w:sz w:val="32"/>
          <w:szCs w:val="32"/>
          <w:lang w:val="en-US" w:eastAsia="zh-CN"/>
        </w:rPr>
        <w:t>法院</w:t>
      </w:r>
      <w:r>
        <w:rPr>
          <w:rFonts w:hint="eastAsia" w:ascii="仿宋_GB2312" w:hAnsi="仿宋_GB2312" w:eastAsia="仿宋_GB2312" w:cs="仿宋_GB2312"/>
          <w:bCs/>
          <w:color w:val="000000" w:themeColor="text1"/>
          <w:spacing w:val="0"/>
          <w:sz w:val="32"/>
          <w:szCs w:val="32"/>
        </w:rPr>
        <w:t>工作化解矛盾纠纷的能力和水平还不能很好地满足人民群众需求，案多人少的情况较为突出。</w:t>
      </w:r>
    </w:p>
    <w:p>
      <w:pPr>
        <w:keepNext w:val="0"/>
        <w:keepLines w:val="0"/>
        <w:pageBreakBefore w:val="0"/>
        <w:widowControl w:val="0"/>
        <w:numPr>
          <w:ilvl w:val="0"/>
          <w:numId w:val="2"/>
        </w:numPr>
        <w:kinsoku w:val="0"/>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Cs/>
          <w:spacing w:val="0"/>
          <w:sz w:val="32"/>
          <w:szCs w:val="32"/>
        </w:rPr>
      </w:pPr>
      <w:r>
        <w:rPr>
          <w:rFonts w:hint="eastAsia" w:ascii="仿宋_GB2312" w:hAnsi="仿宋_GB2312" w:eastAsia="仿宋_GB2312" w:cs="仿宋_GB2312"/>
          <w:bCs/>
          <w:color w:val="000000" w:themeColor="text1"/>
          <w:spacing w:val="0"/>
          <w:sz w:val="32"/>
          <w:szCs w:val="32"/>
        </w:rPr>
        <w:t>建议</w:t>
      </w:r>
    </w:p>
    <w:p>
      <w:pPr>
        <w:keepNext w:val="0"/>
        <w:keepLines w:val="0"/>
        <w:pageBreakBefore w:val="0"/>
        <w:widowControl w:val="0"/>
        <w:numPr>
          <w:ilvl w:val="0"/>
          <w:numId w:val="0"/>
        </w:numPr>
        <w:kinsoku w:val="0"/>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pacing w:val="0"/>
          <w:sz w:val="32"/>
          <w:szCs w:val="32"/>
        </w:rPr>
      </w:pPr>
      <w:r>
        <w:rPr>
          <w:rFonts w:hint="eastAsia" w:ascii="仿宋_GB2312" w:hAnsi="仿宋_GB2312" w:eastAsia="仿宋_GB2312" w:cs="仿宋_GB2312"/>
          <w:bCs/>
          <w:color w:val="000000" w:themeColor="text1"/>
          <w:spacing w:val="0"/>
          <w:sz w:val="32"/>
          <w:szCs w:val="32"/>
        </w:rPr>
        <w:t>针对上述存在问题，我们在今后办案业务管理工作中要采取以下改进措施：一要优化</w:t>
      </w:r>
      <w:r>
        <w:rPr>
          <w:rFonts w:hint="eastAsia" w:ascii="仿宋_GB2312" w:hAnsi="仿宋_GB2312" w:eastAsia="仿宋_GB2312" w:cs="仿宋_GB2312"/>
          <w:bCs/>
          <w:color w:val="000000" w:themeColor="text1"/>
          <w:spacing w:val="0"/>
          <w:sz w:val="32"/>
          <w:szCs w:val="32"/>
          <w:lang w:val="en-US" w:eastAsia="zh-CN"/>
        </w:rPr>
        <w:t>法院</w:t>
      </w:r>
      <w:r>
        <w:rPr>
          <w:rFonts w:hint="eastAsia" w:ascii="仿宋_GB2312" w:hAnsi="仿宋_GB2312" w:eastAsia="仿宋_GB2312" w:cs="仿宋_GB2312"/>
          <w:bCs/>
          <w:color w:val="000000" w:themeColor="text1"/>
          <w:spacing w:val="0"/>
          <w:sz w:val="32"/>
          <w:szCs w:val="32"/>
        </w:rPr>
        <w:t>资源配置，通过内部挖潜，落实“</w:t>
      </w:r>
      <w:r>
        <w:rPr>
          <w:rFonts w:hint="eastAsia" w:ascii="仿宋_GB2312" w:hAnsi="仿宋_GB2312" w:eastAsia="仿宋_GB2312" w:cs="仿宋_GB2312"/>
          <w:bCs/>
          <w:color w:val="000000" w:themeColor="text1"/>
          <w:spacing w:val="0"/>
          <w:sz w:val="32"/>
          <w:szCs w:val="32"/>
          <w:lang w:val="en-US" w:eastAsia="zh-CN"/>
        </w:rPr>
        <w:t>审判</w:t>
      </w:r>
      <w:r>
        <w:rPr>
          <w:rFonts w:hint="eastAsia" w:ascii="仿宋_GB2312" w:hAnsi="仿宋_GB2312" w:eastAsia="仿宋_GB2312" w:cs="仿宋_GB2312"/>
          <w:bCs/>
          <w:color w:val="000000" w:themeColor="text1"/>
          <w:spacing w:val="0"/>
          <w:sz w:val="32"/>
          <w:szCs w:val="32"/>
        </w:rPr>
        <w:t>力量向一线倾斜”的要求，缓解“人少案多”矛盾。加强</w:t>
      </w:r>
      <w:r>
        <w:rPr>
          <w:rFonts w:hint="eastAsia" w:ascii="仿宋_GB2312" w:hAnsi="仿宋_GB2312" w:eastAsia="仿宋_GB2312" w:cs="仿宋_GB2312"/>
          <w:bCs/>
          <w:color w:val="000000" w:themeColor="text1"/>
          <w:spacing w:val="0"/>
          <w:sz w:val="32"/>
          <w:szCs w:val="32"/>
          <w:lang w:val="en-US" w:eastAsia="zh-CN"/>
        </w:rPr>
        <w:t>法院</w:t>
      </w:r>
      <w:r>
        <w:rPr>
          <w:rFonts w:hint="eastAsia" w:ascii="仿宋_GB2312" w:hAnsi="仿宋_GB2312" w:eastAsia="仿宋_GB2312" w:cs="仿宋_GB2312"/>
          <w:bCs/>
          <w:color w:val="000000" w:themeColor="text1"/>
          <w:spacing w:val="0"/>
          <w:sz w:val="32"/>
          <w:szCs w:val="32"/>
        </w:rPr>
        <w:t>管理，严格审限控制，积极采取措施，促进均衡结案。二要根据</w:t>
      </w:r>
      <w:r>
        <w:rPr>
          <w:rFonts w:hint="eastAsia" w:ascii="仿宋_GB2312" w:hAnsi="仿宋_GB2312" w:eastAsia="仿宋_GB2312" w:cs="仿宋_GB2312"/>
          <w:bCs/>
          <w:color w:val="000000" w:themeColor="text1"/>
          <w:spacing w:val="0"/>
          <w:sz w:val="32"/>
          <w:szCs w:val="32"/>
          <w:lang w:val="en-US" w:eastAsia="zh-CN"/>
        </w:rPr>
        <w:t>法</w:t>
      </w:r>
      <w:r>
        <w:rPr>
          <w:rFonts w:hint="eastAsia" w:ascii="仿宋_GB2312" w:hAnsi="仿宋_GB2312" w:eastAsia="仿宋_GB2312" w:cs="仿宋_GB2312"/>
          <w:bCs/>
          <w:color w:val="000000" w:themeColor="text1"/>
          <w:spacing w:val="0"/>
          <w:sz w:val="32"/>
          <w:szCs w:val="32"/>
        </w:rPr>
        <w:t>院工作实际，多与相关部门沟通协调，认真研究分析，提出科学的指标考评体系，使指标设置更为合理，真正起到加强财政资金预算管理， 结合绩效评价结果，适当提高</w:t>
      </w:r>
      <w:r>
        <w:rPr>
          <w:rFonts w:hint="eastAsia" w:ascii="仿宋_GB2312" w:hAnsi="仿宋_GB2312" w:eastAsia="仿宋_GB2312" w:cs="仿宋_GB2312"/>
          <w:bCs/>
          <w:color w:val="000000" w:themeColor="text1"/>
          <w:spacing w:val="0"/>
          <w:sz w:val="32"/>
          <w:szCs w:val="32"/>
          <w:lang w:val="en-US" w:eastAsia="zh-CN"/>
        </w:rPr>
        <w:t>法</w:t>
      </w:r>
      <w:r>
        <w:rPr>
          <w:rFonts w:hint="eastAsia" w:ascii="仿宋_GB2312" w:hAnsi="仿宋_GB2312" w:eastAsia="仿宋_GB2312" w:cs="仿宋_GB2312"/>
          <w:bCs/>
          <w:color w:val="000000" w:themeColor="text1"/>
          <w:spacing w:val="0"/>
          <w:sz w:val="32"/>
          <w:szCs w:val="32"/>
        </w:rPr>
        <w:t>院年初业务办案项目预算，保障</w:t>
      </w:r>
      <w:r>
        <w:rPr>
          <w:rFonts w:hint="eastAsia" w:ascii="仿宋_GB2312" w:hAnsi="仿宋_GB2312" w:eastAsia="仿宋_GB2312" w:cs="仿宋_GB2312"/>
          <w:bCs/>
          <w:color w:val="000000" w:themeColor="text1"/>
          <w:spacing w:val="0"/>
          <w:sz w:val="32"/>
          <w:szCs w:val="32"/>
          <w:lang w:val="en-US" w:eastAsia="zh-CN"/>
        </w:rPr>
        <w:t>法院</w:t>
      </w:r>
      <w:r>
        <w:rPr>
          <w:rFonts w:hint="eastAsia" w:ascii="仿宋_GB2312" w:hAnsi="仿宋_GB2312" w:eastAsia="仿宋_GB2312" w:cs="仿宋_GB2312"/>
          <w:bCs/>
          <w:color w:val="000000" w:themeColor="text1"/>
          <w:spacing w:val="0"/>
          <w:sz w:val="32"/>
          <w:szCs w:val="32"/>
        </w:rPr>
        <w:t>工作顺利开展。</w:t>
      </w:r>
    </w:p>
    <w:p>
      <w:pPr>
        <w:adjustRightInd w:val="0"/>
        <w:snapToGrid w:val="0"/>
        <w:spacing w:line="560" w:lineRule="exact"/>
        <w:ind w:firstLine="627" w:firstLineChars="200"/>
        <w:outlineLvl w:val="0"/>
        <w:rPr>
          <w:rFonts w:hint="eastAsia" w:ascii="楷体" w:hAnsi="楷体" w:eastAsia="楷体" w:cs="楷体"/>
          <w:b/>
          <w:spacing w:val="-4"/>
          <w:sz w:val="32"/>
          <w:szCs w:val="32"/>
        </w:rPr>
      </w:pPr>
      <w:r>
        <w:rPr>
          <w:rFonts w:hint="eastAsia" w:ascii="楷体" w:hAnsi="楷体" w:eastAsia="楷体" w:cs="楷体"/>
          <w:b/>
          <w:spacing w:val="-4"/>
          <w:sz w:val="32"/>
          <w:szCs w:val="32"/>
        </w:rPr>
        <w:t>（三）其他</w:t>
      </w:r>
    </w:p>
    <w:p>
      <w:pPr>
        <w:adjustRightInd w:val="0"/>
        <w:snapToGrid w:val="0"/>
        <w:spacing w:line="560" w:lineRule="exact"/>
        <w:ind w:firstLine="624" w:firstLineChars="200"/>
        <w:rPr>
          <w:rFonts w:asciiTheme="minorEastAsia" w:hAnsiTheme="minorEastAsia"/>
          <w:color w:val="000000" w:themeColor="text1"/>
          <w:spacing w:val="-4"/>
          <w:sz w:val="32"/>
          <w:szCs w:val="32"/>
        </w:rPr>
      </w:pPr>
      <w:r>
        <w:rPr>
          <w:rFonts w:hint="eastAsia" w:ascii="仿宋_GB2312" w:hAnsi="仿宋_GB2312" w:eastAsia="仿宋_GB2312" w:cs="仿宋_GB2312"/>
          <w:color w:val="000000" w:themeColor="text1"/>
          <w:spacing w:val="-4"/>
          <w:sz w:val="32"/>
          <w:szCs w:val="32"/>
        </w:rPr>
        <w:t>无其他说明内容</w:t>
      </w:r>
      <w:r>
        <w:rPr>
          <w:rFonts w:hint="eastAsia" w:asciiTheme="minorEastAsia" w:hAnsiTheme="minorEastAsia"/>
          <w:color w:val="000000" w:themeColor="text1"/>
          <w:spacing w:val="-4"/>
          <w:sz w:val="32"/>
          <w:szCs w:val="32"/>
        </w:rPr>
        <w:t>。</w:t>
      </w:r>
    </w:p>
    <w:p>
      <w:pPr>
        <w:numPr>
          <w:ilvl w:val="0"/>
          <w:numId w:val="0"/>
        </w:numPr>
        <w:adjustRightInd w:val="0"/>
        <w:snapToGrid w:val="0"/>
        <w:spacing w:line="560" w:lineRule="exact"/>
        <w:ind w:left="630" w:leftChars="0"/>
        <w:outlineLvl w:val="0"/>
        <w:rPr>
          <w:rStyle w:val="8"/>
          <w:rFonts w:hint="eastAsia" w:ascii="黑体" w:hAnsi="黑体" w:eastAsia="黑体" w:cs="黑体"/>
          <w:b w:val="0"/>
          <w:spacing w:val="-4"/>
          <w:sz w:val="32"/>
          <w:szCs w:val="32"/>
        </w:rPr>
      </w:pPr>
      <w:r>
        <w:rPr>
          <w:rStyle w:val="8"/>
          <w:rFonts w:hint="eastAsia" w:ascii="黑体" w:hAnsi="黑体" w:eastAsia="黑体" w:cs="黑体"/>
          <w:spacing w:val="-4"/>
          <w:sz w:val="32"/>
          <w:szCs w:val="32"/>
          <w:lang w:val="en-US" w:eastAsia="zh-CN"/>
        </w:rPr>
        <w:t>六、</w:t>
      </w:r>
      <w:r>
        <w:rPr>
          <w:rStyle w:val="8"/>
          <w:rFonts w:hint="eastAsia" w:ascii="黑体" w:hAnsi="黑体" w:eastAsia="黑体" w:cs="黑体"/>
          <w:spacing w:val="-4"/>
          <w:sz w:val="32"/>
          <w:szCs w:val="32"/>
        </w:rPr>
        <w:t>项目评价工作情况</w:t>
      </w:r>
    </w:p>
    <w:p>
      <w:pPr>
        <w:adjustRightInd w:val="0"/>
        <w:snapToGrid w:val="0"/>
        <w:spacing w:line="560" w:lineRule="exact"/>
        <w:ind w:firstLine="624" w:firstLineChars="200"/>
        <w:outlineLvl w:val="0"/>
        <w:rPr>
          <w:rFonts w:asciiTheme="minorEastAsia" w:hAnsiTheme="minorEastAsia"/>
          <w:color w:val="FF0000"/>
          <w:spacing w:val="-4"/>
          <w:sz w:val="32"/>
          <w:szCs w:val="32"/>
        </w:rPr>
      </w:pPr>
      <w:r>
        <w:rPr>
          <w:rFonts w:hint="eastAsia" w:ascii="仿宋_GB2312" w:hAnsi="仿宋_GB2312" w:eastAsia="仿宋_GB2312" w:cs="仿宋_GB2312"/>
          <w:bCs/>
          <w:color w:val="000000" w:themeColor="text1"/>
          <w:spacing w:val="-4"/>
          <w:sz w:val="32"/>
          <w:szCs w:val="32"/>
        </w:rPr>
        <w:t>办案业务经费项目资金管理过程规范，程序到位，完成了预期绩效目标，群众满意，社会反响好。取得了巨大的社会效益，维护了社会的稳定</w:t>
      </w:r>
      <w:r>
        <w:rPr>
          <w:rFonts w:hint="eastAsia" w:asciiTheme="minorEastAsia" w:hAnsiTheme="minorEastAsia"/>
          <w:bCs/>
          <w:color w:val="000000" w:themeColor="text1"/>
          <w:spacing w:val="-4"/>
          <w:sz w:val="32"/>
          <w:szCs w:val="32"/>
        </w:rPr>
        <w:t>。</w:t>
      </w:r>
    </w:p>
    <w:p>
      <w:pPr>
        <w:spacing w:line="460" w:lineRule="exact"/>
        <w:ind w:firstLine="627" w:firstLineChars="200"/>
        <w:rPr>
          <w:rStyle w:val="8"/>
          <w:rFonts w:ascii="黑体" w:hAnsi="仿宋" w:eastAsia="黑体"/>
          <w:spacing w:val="-4"/>
          <w:sz w:val="32"/>
          <w:szCs w:val="32"/>
        </w:rPr>
      </w:pPr>
      <w:r>
        <w:rPr>
          <w:rStyle w:val="8"/>
          <w:rFonts w:hint="eastAsia" w:ascii="黑体" w:hAnsi="仿宋" w:eastAsia="黑体"/>
          <w:spacing w:val="-4"/>
          <w:sz w:val="32"/>
          <w:szCs w:val="32"/>
        </w:rPr>
        <w:t>七、附表</w:t>
      </w:r>
    </w:p>
    <w:p>
      <w:pPr>
        <w:adjustRightInd w:val="0"/>
        <w:snapToGrid w:val="0"/>
        <w:spacing w:line="560" w:lineRule="exact"/>
        <w:ind w:firstLine="624" w:firstLineChars="200"/>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《项目支出绩效目标自评表》</w:t>
      </w:r>
    </w:p>
    <w:p>
      <w:pPr>
        <w:spacing w:line="540" w:lineRule="auto"/>
        <w:rPr>
          <w:rFonts w:ascii="仿宋" w:hAnsi="仿宋" w:eastAsia="仿宋" w:cs="仿宋"/>
          <w:spacing w:val="-4"/>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Unicode MS">
    <w:altName w:val="宋体"/>
    <w:panose1 w:val="020B0604020202020204"/>
    <w:charset w:val="86"/>
    <w:family w:val="swiss"/>
    <w:pitch w:val="default"/>
    <w:sig w:usb0="00000000" w:usb1="00000000" w:usb2="0000003F" w:usb3="00000000" w:csb0="603F01FF" w:csb1="FFFF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865DCD"/>
    <w:multiLevelType w:val="singleLevel"/>
    <w:tmpl w:val="DC865DCD"/>
    <w:lvl w:ilvl="0" w:tentative="0">
      <w:start w:val="2"/>
      <w:numFmt w:val="decimal"/>
      <w:suff w:val="nothing"/>
      <w:lvlText w:val="%1、"/>
      <w:lvlJc w:val="left"/>
    </w:lvl>
  </w:abstractNum>
  <w:abstractNum w:abstractNumId="1">
    <w:nsid w:val="6C3419A3"/>
    <w:multiLevelType w:val="singleLevel"/>
    <w:tmpl w:val="6C3419A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8B2BEC"/>
    <w:rsid w:val="00007A98"/>
    <w:rsid w:val="00020EAA"/>
    <w:rsid w:val="0003415A"/>
    <w:rsid w:val="000549C2"/>
    <w:rsid w:val="00070753"/>
    <w:rsid w:val="00086E5C"/>
    <w:rsid w:val="000933EA"/>
    <w:rsid w:val="000C2F01"/>
    <w:rsid w:val="000D155A"/>
    <w:rsid w:val="000E1197"/>
    <w:rsid w:val="000F2B84"/>
    <w:rsid w:val="00117843"/>
    <w:rsid w:val="0014389A"/>
    <w:rsid w:val="001619D9"/>
    <w:rsid w:val="001833E3"/>
    <w:rsid w:val="00194FB8"/>
    <w:rsid w:val="001A7CD9"/>
    <w:rsid w:val="001C1939"/>
    <w:rsid w:val="001E148F"/>
    <w:rsid w:val="002118A7"/>
    <w:rsid w:val="002151E7"/>
    <w:rsid w:val="00215D28"/>
    <w:rsid w:val="00220A84"/>
    <w:rsid w:val="00231FEE"/>
    <w:rsid w:val="00244D4C"/>
    <w:rsid w:val="00275D4C"/>
    <w:rsid w:val="002A0F52"/>
    <w:rsid w:val="002A58F5"/>
    <w:rsid w:val="002D26AB"/>
    <w:rsid w:val="002D7E2B"/>
    <w:rsid w:val="002E2CCB"/>
    <w:rsid w:val="002E4670"/>
    <w:rsid w:val="00327C91"/>
    <w:rsid w:val="00333B5D"/>
    <w:rsid w:val="00336814"/>
    <w:rsid w:val="00342FD2"/>
    <w:rsid w:val="003560E6"/>
    <w:rsid w:val="00362253"/>
    <w:rsid w:val="003741DA"/>
    <w:rsid w:val="00376E21"/>
    <w:rsid w:val="00382E2A"/>
    <w:rsid w:val="003959FF"/>
    <w:rsid w:val="00397CB2"/>
    <w:rsid w:val="003A2627"/>
    <w:rsid w:val="003A38DF"/>
    <w:rsid w:val="003A3C0B"/>
    <w:rsid w:val="003C7169"/>
    <w:rsid w:val="003E7F73"/>
    <w:rsid w:val="00407E0F"/>
    <w:rsid w:val="00414547"/>
    <w:rsid w:val="0042443A"/>
    <w:rsid w:val="0044064D"/>
    <w:rsid w:val="004726C8"/>
    <w:rsid w:val="00475883"/>
    <w:rsid w:val="00480FFE"/>
    <w:rsid w:val="00482304"/>
    <w:rsid w:val="004F6F3A"/>
    <w:rsid w:val="00535792"/>
    <w:rsid w:val="00562C82"/>
    <w:rsid w:val="005943B0"/>
    <w:rsid w:val="005B5319"/>
    <w:rsid w:val="005B58A4"/>
    <w:rsid w:val="005B60D1"/>
    <w:rsid w:val="005F096F"/>
    <w:rsid w:val="00620827"/>
    <w:rsid w:val="00631573"/>
    <w:rsid w:val="00637181"/>
    <w:rsid w:val="00650907"/>
    <w:rsid w:val="00651036"/>
    <w:rsid w:val="006836BA"/>
    <w:rsid w:val="006D55F2"/>
    <w:rsid w:val="006E43D6"/>
    <w:rsid w:val="007124C2"/>
    <w:rsid w:val="007225CC"/>
    <w:rsid w:val="0072359E"/>
    <w:rsid w:val="007A6437"/>
    <w:rsid w:val="007D7D7B"/>
    <w:rsid w:val="007F1A2F"/>
    <w:rsid w:val="00816026"/>
    <w:rsid w:val="00846049"/>
    <w:rsid w:val="008468C2"/>
    <w:rsid w:val="008838BA"/>
    <w:rsid w:val="008B2BEC"/>
    <w:rsid w:val="008D2F55"/>
    <w:rsid w:val="008D7FEF"/>
    <w:rsid w:val="008E6565"/>
    <w:rsid w:val="008F5D2B"/>
    <w:rsid w:val="00937DFD"/>
    <w:rsid w:val="00946C16"/>
    <w:rsid w:val="00964FBC"/>
    <w:rsid w:val="00986734"/>
    <w:rsid w:val="009D33C2"/>
    <w:rsid w:val="009D57C5"/>
    <w:rsid w:val="009F0EC9"/>
    <w:rsid w:val="00A63715"/>
    <w:rsid w:val="00A842F0"/>
    <w:rsid w:val="00A93182"/>
    <w:rsid w:val="00AA2816"/>
    <w:rsid w:val="00AD48E3"/>
    <w:rsid w:val="00AD562A"/>
    <w:rsid w:val="00AE4846"/>
    <w:rsid w:val="00AF4768"/>
    <w:rsid w:val="00AF50F0"/>
    <w:rsid w:val="00B16C30"/>
    <w:rsid w:val="00B25056"/>
    <w:rsid w:val="00B44C25"/>
    <w:rsid w:val="00B74FE3"/>
    <w:rsid w:val="00BB4FBA"/>
    <w:rsid w:val="00BC2463"/>
    <w:rsid w:val="00BC4D44"/>
    <w:rsid w:val="00C24456"/>
    <w:rsid w:val="00C57F68"/>
    <w:rsid w:val="00C80277"/>
    <w:rsid w:val="00C87D99"/>
    <w:rsid w:val="00CB48A0"/>
    <w:rsid w:val="00CB4916"/>
    <w:rsid w:val="00CD2E20"/>
    <w:rsid w:val="00CD54DC"/>
    <w:rsid w:val="00D0369F"/>
    <w:rsid w:val="00D25131"/>
    <w:rsid w:val="00D31F22"/>
    <w:rsid w:val="00D33CE6"/>
    <w:rsid w:val="00D42F40"/>
    <w:rsid w:val="00D54444"/>
    <w:rsid w:val="00D76E9A"/>
    <w:rsid w:val="00D81935"/>
    <w:rsid w:val="00D81C80"/>
    <w:rsid w:val="00D9263F"/>
    <w:rsid w:val="00DA7149"/>
    <w:rsid w:val="00DB7BCC"/>
    <w:rsid w:val="00DD55F8"/>
    <w:rsid w:val="00E26D4E"/>
    <w:rsid w:val="00E303CE"/>
    <w:rsid w:val="00E329E9"/>
    <w:rsid w:val="00E72176"/>
    <w:rsid w:val="00E759A5"/>
    <w:rsid w:val="00E87F98"/>
    <w:rsid w:val="00E95401"/>
    <w:rsid w:val="00EB0BAA"/>
    <w:rsid w:val="00EB3289"/>
    <w:rsid w:val="00EF0EFB"/>
    <w:rsid w:val="00EF7A4A"/>
    <w:rsid w:val="00F036BE"/>
    <w:rsid w:val="00F06F99"/>
    <w:rsid w:val="00F50634"/>
    <w:rsid w:val="00F51B20"/>
    <w:rsid w:val="00F55975"/>
    <w:rsid w:val="00F73671"/>
    <w:rsid w:val="00F83669"/>
    <w:rsid w:val="00F912A7"/>
    <w:rsid w:val="00FA0B71"/>
    <w:rsid w:val="00FB1EBE"/>
    <w:rsid w:val="00FC70AC"/>
    <w:rsid w:val="0B2F7D92"/>
    <w:rsid w:val="11196020"/>
    <w:rsid w:val="122E19AC"/>
    <w:rsid w:val="135B13FD"/>
    <w:rsid w:val="18794C59"/>
    <w:rsid w:val="25CB79B4"/>
    <w:rsid w:val="2B944805"/>
    <w:rsid w:val="3255257A"/>
    <w:rsid w:val="419C63E0"/>
    <w:rsid w:val="438F4BAD"/>
    <w:rsid w:val="44AC56E5"/>
    <w:rsid w:val="4687328A"/>
    <w:rsid w:val="59390B80"/>
    <w:rsid w:val="5BB75352"/>
    <w:rsid w:val="5BDE4D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qFormat/>
    <w:uiPriority w:val="99"/>
    <w:rPr>
      <w:rFonts w:ascii="宋体" w:eastAsia="宋体"/>
      <w:sz w:val="18"/>
      <w:szCs w:val="18"/>
    </w:r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0"/>
    <w:rPr>
      <w:b/>
      <w:bCs/>
    </w:rPr>
  </w:style>
  <w:style w:type="character" w:styleId="9">
    <w:name w:val="Hyperlink"/>
    <w:basedOn w:val="7"/>
    <w:semiHidden/>
    <w:unhideWhenUsed/>
    <w:qFormat/>
    <w:uiPriority w:val="99"/>
    <w:rPr>
      <w:color w:val="0000FF"/>
      <w:u w:val="single"/>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 w:type="character" w:customStyle="1" w:styleId="12">
    <w:name w:val="news_content"/>
    <w:basedOn w:val="7"/>
    <w:qFormat/>
    <w:uiPriority w:val="0"/>
  </w:style>
  <w:style w:type="paragraph" w:customStyle="1" w:styleId="13">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styleId="14">
    <w:name w:val="List Paragraph"/>
    <w:basedOn w:val="1"/>
    <w:unhideWhenUsed/>
    <w:qFormat/>
    <w:uiPriority w:val="99"/>
    <w:pPr>
      <w:ind w:firstLine="420" w:firstLineChars="200"/>
    </w:pPr>
  </w:style>
  <w:style w:type="character" w:customStyle="1" w:styleId="15">
    <w:name w:val="文档结构图 Char"/>
    <w:basedOn w:val="7"/>
    <w:link w:val="2"/>
    <w:semiHidden/>
    <w:qFormat/>
    <w:uiPriority w:val="99"/>
    <w:rPr>
      <w:rFonts w:ascii="宋体"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CDB6A1-09FD-487C-AE57-EEEFA4CA266E}">
  <ds:schemaRefs/>
</ds:datastoreItem>
</file>

<file path=docProps/app.xml><?xml version="1.0" encoding="utf-8"?>
<Properties xmlns="http://schemas.openxmlformats.org/officeDocument/2006/extended-properties" xmlns:vt="http://schemas.openxmlformats.org/officeDocument/2006/docPropsVTypes">
  <Template>Normal</Template>
  <Pages>7</Pages>
  <Words>424</Words>
  <Characters>2420</Characters>
  <Lines>20</Lines>
  <Paragraphs>5</Paragraphs>
  <TotalTime>295</TotalTime>
  <ScaleCrop>false</ScaleCrop>
  <LinksUpToDate>false</LinksUpToDate>
  <CharactersWithSpaces>2839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2019-01-13T08:57:00Z</dcterms:created>
  <dc:creator>Administrator</dc:creator>
  <cp:lastModifiedBy>Administrator</cp:lastModifiedBy>
  <cp:lastPrinted>2019-01-13T11:14:00Z</cp:lastPrinted>
  <dcterms:modified xsi:type="dcterms:W3CDTF">2021-05-29T12:18:48Z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