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spacing w:line="540" w:lineRule="exact"/>
        <w:jc w:val="center"/>
        <w:rPr>
          <w:rFonts w:ascii="华文中宋" w:hAnsi="华文中宋" w:eastAsia="华文中宋" w:cs="华文中宋"/>
          <w:b/>
          <w:bCs/>
          <w:kern w:val="0"/>
          <w:sz w:val="52"/>
          <w:szCs w:val="52"/>
        </w:rPr>
      </w:pPr>
    </w:p>
    <w:p>
      <w:pPr>
        <w:pStyle w:val="59"/>
        <w:spacing w:line="540" w:lineRule="exact"/>
        <w:jc w:val="center"/>
        <w:rPr>
          <w:rFonts w:ascii="华文中宋" w:hAnsi="华文中宋" w:eastAsia="华文中宋" w:cs="华文中宋"/>
          <w:b/>
          <w:bCs/>
          <w:kern w:val="0"/>
          <w:sz w:val="52"/>
          <w:szCs w:val="52"/>
        </w:rPr>
      </w:pPr>
    </w:p>
    <w:p>
      <w:pPr>
        <w:pStyle w:val="59"/>
        <w:spacing w:line="540" w:lineRule="exact"/>
        <w:rPr>
          <w:rFonts w:ascii="华文中宋" w:hAnsi="华文中宋" w:eastAsia="华文中宋" w:cs="华文中宋"/>
          <w:b/>
          <w:bCs/>
          <w:kern w:val="0"/>
          <w:sz w:val="52"/>
          <w:szCs w:val="52"/>
        </w:rPr>
      </w:pPr>
    </w:p>
    <w:p>
      <w:pPr>
        <w:pStyle w:val="59"/>
        <w:spacing w:line="540" w:lineRule="exact"/>
        <w:jc w:val="center"/>
        <w:rPr>
          <w:rFonts w:ascii="华文中宋" w:hAnsi="华文中宋" w:eastAsia="华文中宋" w:cs="华文中宋"/>
          <w:b/>
          <w:bCs/>
          <w:kern w:val="0"/>
          <w:sz w:val="52"/>
          <w:szCs w:val="52"/>
        </w:rPr>
      </w:pPr>
    </w:p>
    <w:p>
      <w:pPr>
        <w:pStyle w:val="59"/>
        <w:spacing w:line="540" w:lineRule="exact"/>
        <w:jc w:val="center"/>
        <w:rPr>
          <w:rFonts w:ascii="华文中宋" w:hAnsi="华文中宋" w:eastAsia="华文中宋" w:cs="华文中宋"/>
          <w:b/>
          <w:bCs/>
          <w:kern w:val="0"/>
          <w:sz w:val="52"/>
          <w:szCs w:val="52"/>
        </w:rPr>
      </w:pPr>
    </w:p>
    <w:p>
      <w:pPr>
        <w:pStyle w:val="59"/>
        <w:spacing w:line="540" w:lineRule="exact"/>
        <w:jc w:val="center"/>
        <w:rPr>
          <w:rFonts w:ascii="华文中宋" w:hAnsi="华文中宋" w:eastAsia="华文中宋" w:cs="华文中宋"/>
          <w:b/>
          <w:bCs/>
          <w:kern w:val="0"/>
          <w:sz w:val="52"/>
          <w:szCs w:val="52"/>
        </w:rPr>
      </w:pPr>
    </w:p>
    <w:p>
      <w:pPr>
        <w:spacing w:line="540" w:lineRule="auto"/>
        <w:jc w:val="center"/>
        <w:rPr>
          <w:rFonts w:cs="宋体" w:asciiTheme="minorEastAsia" w:hAnsiTheme="minorEastAsia"/>
          <w:b/>
          <w:sz w:val="44"/>
          <w:szCs w:val="44"/>
        </w:rPr>
      </w:pPr>
      <w:r>
        <w:rPr>
          <w:rFonts w:hint="eastAsia" w:cs="华文中宋" w:asciiTheme="minorEastAsia" w:hAnsiTheme="minorEastAsia"/>
          <w:b/>
          <w:sz w:val="44"/>
          <w:szCs w:val="44"/>
          <w:lang w:eastAsia="zh-CN"/>
        </w:rPr>
        <w:t>新疆巴州</w:t>
      </w:r>
      <w:r>
        <w:rPr>
          <w:rFonts w:hint="eastAsia" w:cs="华文中宋" w:asciiTheme="minorEastAsia" w:hAnsiTheme="minorEastAsia"/>
          <w:b/>
          <w:sz w:val="44"/>
          <w:szCs w:val="44"/>
        </w:rPr>
        <w:t>和静县人民检察院</w:t>
      </w:r>
      <w:r>
        <w:rPr>
          <w:rFonts w:cs="宋体" w:asciiTheme="minorEastAsia" w:hAnsiTheme="minorEastAsia"/>
          <w:b/>
          <w:sz w:val="44"/>
          <w:szCs w:val="44"/>
        </w:rPr>
        <w:t>财政项目</w:t>
      </w:r>
    </w:p>
    <w:p>
      <w:pPr>
        <w:spacing w:line="540" w:lineRule="auto"/>
        <w:jc w:val="center"/>
        <w:rPr>
          <w:rFonts w:cs="仿宋" w:asciiTheme="minorEastAsia" w:hAnsiTheme="minorEastAsia"/>
          <w:b/>
          <w:sz w:val="44"/>
          <w:szCs w:val="44"/>
        </w:rPr>
      </w:pPr>
      <w:r>
        <w:rPr>
          <w:rFonts w:cs="宋体" w:asciiTheme="minorEastAsia" w:hAnsiTheme="minorEastAsia"/>
          <w:b/>
          <w:sz w:val="44"/>
          <w:szCs w:val="44"/>
        </w:rPr>
        <w:t>支出绩效自评报告</w:t>
      </w:r>
    </w:p>
    <w:p>
      <w:pPr>
        <w:pStyle w:val="59"/>
        <w:spacing w:line="540" w:lineRule="exact"/>
        <w:jc w:val="center"/>
        <w:rPr>
          <w:rFonts w:ascii="华文中宋" w:hAnsi="华文中宋" w:eastAsia="华文中宋" w:cs="华文中宋"/>
          <w:b/>
          <w:bCs/>
          <w:kern w:val="0"/>
          <w:sz w:val="52"/>
          <w:szCs w:val="52"/>
        </w:rPr>
      </w:pPr>
    </w:p>
    <w:p>
      <w:pPr>
        <w:pStyle w:val="5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（2018年度）</w:t>
      </w:r>
    </w:p>
    <w:p>
      <w:pPr>
        <w:pStyle w:val="59"/>
        <w:spacing w:line="540" w:lineRule="exact"/>
        <w:jc w:val="center"/>
        <w:rPr>
          <w:kern w:val="0"/>
          <w:sz w:val="30"/>
          <w:szCs w:val="30"/>
        </w:rPr>
      </w:pPr>
    </w:p>
    <w:p>
      <w:pPr>
        <w:pStyle w:val="59"/>
        <w:spacing w:line="540" w:lineRule="exact"/>
        <w:jc w:val="center"/>
        <w:rPr>
          <w:kern w:val="0"/>
          <w:sz w:val="30"/>
          <w:szCs w:val="30"/>
        </w:rPr>
      </w:pPr>
    </w:p>
    <w:p>
      <w:pPr>
        <w:pStyle w:val="59"/>
        <w:spacing w:line="540" w:lineRule="exact"/>
        <w:jc w:val="center"/>
        <w:rPr>
          <w:kern w:val="0"/>
          <w:sz w:val="30"/>
          <w:szCs w:val="30"/>
        </w:rPr>
      </w:pPr>
    </w:p>
    <w:p>
      <w:pPr>
        <w:pStyle w:val="59"/>
        <w:spacing w:line="540" w:lineRule="exact"/>
        <w:jc w:val="center"/>
        <w:rPr>
          <w:kern w:val="0"/>
          <w:sz w:val="30"/>
          <w:szCs w:val="30"/>
        </w:rPr>
      </w:pPr>
    </w:p>
    <w:p>
      <w:pPr>
        <w:pStyle w:val="59"/>
        <w:spacing w:line="540" w:lineRule="exact"/>
        <w:jc w:val="center"/>
        <w:rPr>
          <w:kern w:val="0"/>
          <w:sz w:val="30"/>
          <w:szCs w:val="30"/>
        </w:rPr>
      </w:pPr>
    </w:p>
    <w:p>
      <w:pPr>
        <w:pStyle w:val="59"/>
        <w:spacing w:line="540" w:lineRule="exact"/>
        <w:rPr>
          <w:kern w:val="0"/>
          <w:sz w:val="30"/>
          <w:szCs w:val="30"/>
        </w:rPr>
      </w:pPr>
    </w:p>
    <w:p>
      <w:pPr>
        <w:pStyle w:val="59"/>
        <w:spacing w:line="540" w:lineRule="exact"/>
        <w:rPr>
          <w:kern w:val="0"/>
          <w:sz w:val="30"/>
          <w:szCs w:val="30"/>
        </w:rPr>
      </w:pPr>
    </w:p>
    <w:p>
      <w:pPr>
        <w:pStyle w:val="59"/>
        <w:spacing w:line="540" w:lineRule="exact"/>
        <w:rPr>
          <w:kern w:val="0"/>
          <w:sz w:val="30"/>
          <w:szCs w:val="30"/>
        </w:rPr>
      </w:pPr>
    </w:p>
    <w:p>
      <w:pPr>
        <w:pStyle w:val="5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中央政法专项</w:t>
      </w:r>
      <w:r>
        <w:rPr>
          <w:rFonts w:hint="eastAsia" w:ascii="仿宋_GB2312" w:hAnsi="仿宋_GB2312" w:eastAsia="仿宋_GB2312" w:cs="仿宋_GB2312"/>
          <w:kern w:val="0"/>
          <w:sz w:val="36"/>
          <w:szCs w:val="36"/>
          <w:lang w:val="zh-TW"/>
        </w:rPr>
        <w:t>装备</w:t>
      </w:r>
      <w:r>
        <w:rPr>
          <w:rFonts w:hint="eastAsia" w:ascii="仿宋_GB2312" w:hAnsi="仿宋_GB2312" w:eastAsia="仿宋_GB2312" w:cs="仿宋_GB2312"/>
          <w:kern w:val="0"/>
          <w:sz w:val="36"/>
          <w:szCs w:val="36"/>
          <w:lang w:val="zh-TW" w:eastAsia="zh-TW"/>
        </w:rPr>
        <w:t>经费</w:t>
      </w:r>
    </w:p>
    <w:p>
      <w:pPr>
        <w:pStyle w:val="59"/>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和静县人民检察院</w:t>
      </w:r>
    </w:p>
    <w:p>
      <w:pPr>
        <w:pStyle w:val="5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TW"/>
        </w:rPr>
        <w:t>中共和静县委员会</w:t>
      </w:r>
      <w:bookmarkStart w:id="0" w:name="_GoBack"/>
      <w:bookmarkEnd w:id="0"/>
    </w:p>
    <w:p>
      <w:pPr>
        <w:pStyle w:val="59"/>
        <w:spacing w:line="700" w:lineRule="exact"/>
        <w:ind w:firstLine="720" w:firstLineChars="200"/>
        <w:jc w:val="left"/>
        <w:rPr>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张静</w:t>
      </w:r>
    </w:p>
    <w:p>
      <w:pPr>
        <w:spacing w:line="700" w:lineRule="exact"/>
        <w:ind w:firstLine="720" w:firstLineChars="200"/>
        <w:jc w:val="left"/>
        <w:rPr>
          <w:rFonts w:hAnsi="宋体" w:eastAsia="仿宋_GB2312" w:cs="宋体"/>
          <w:kern w:val="0"/>
          <w:sz w:val="36"/>
          <w:szCs w:val="36"/>
        </w:rPr>
      </w:pPr>
      <w:r>
        <w:rPr>
          <w:rFonts w:ascii="仿宋_GB2312" w:hAnsi="仿宋_GB2312" w:eastAsia="仿宋_GB2312" w:cs="仿宋_GB2312"/>
          <w:kern w:val="0"/>
          <w:sz w:val="36"/>
          <w:szCs w:val="36"/>
          <w:lang w:val="zh-TW" w:eastAsia="zh-TW"/>
        </w:rPr>
        <w:t>填报时间：</w:t>
      </w:r>
      <w:r>
        <w:rPr>
          <w:rFonts w:hint="eastAsia" w:hAnsi="宋体" w:eastAsia="仿宋_GB2312" w:cs="宋体"/>
          <w:kern w:val="0"/>
          <w:sz w:val="36"/>
          <w:szCs w:val="36"/>
        </w:rPr>
        <w:t>2019年1月23日</w:t>
      </w:r>
    </w:p>
    <w:p>
      <w:pPr>
        <w:pStyle w:val="59"/>
        <w:spacing w:line="700" w:lineRule="exact"/>
        <w:ind w:firstLine="624" w:firstLineChars="200"/>
        <w:jc w:val="left"/>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widowControl/>
        <w:shd w:val="clear" w:color="auto" w:fill="FFFFFF"/>
        <w:spacing w:line="30" w:lineRule="atLeast"/>
        <w:ind w:firstLine="640" w:firstLineChars="200"/>
        <w:jc w:val="left"/>
        <w:rPr>
          <w:rStyle w:val="20"/>
          <w:rFonts w:ascii="仿宋" w:hAnsi="仿宋" w:eastAsia="仿宋"/>
          <w:b w:val="0"/>
          <w:color w:val="FF0000"/>
          <w:spacing w:val="-4"/>
          <w:sz w:val="32"/>
          <w:szCs w:val="32"/>
        </w:rPr>
      </w:pPr>
      <w:r>
        <w:rPr>
          <w:rStyle w:val="60"/>
          <w:rFonts w:hint="eastAsia" w:ascii="仿宋_GB2312" w:hAnsi="宋体" w:eastAsia="仿宋_GB2312"/>
          <w:color w:val="000000"/>
          <w:sz w:val="32"/>
          <w:szCs w:val="32"/>
          <w:lang w:val="zh-TW" w:eastAsia="zh-TW"/>
        </w:rPr>
        <w:t>新疆巴州</w:t>
      </w:r>
      <w:r>
        <w:rPr>
          <w:rStyle w:val="60"/>
          <w:rFonts w:hint="eastAsia" w:ascii="仿宋_GB2312" w:hAnsi="宋体" w:eastAsia="仿宋_GB2312"/>
          <w:color w:val="000000"/>
          <w:sz w:val="32"/>
          <w:szCs w:val="32"/>
        </w:rPr>
        <w:t>和静县人民检察院为法律监督</w:t>
      </w:r>
      <w:r>
        <w:rPr>
          <w:rStyle w:val="60"/>
          <w:rFonts w:ascii="仿宋_GB2312" w:hAnsi="宋体" w:eastAsia="仿宋_GB2312"/>
          <w:color w:val="000000"/>
          <w:sz w:val="32"/>
          <w:szCs w:val="32"/>
        </w:rPr>
        <w:t>机关，依照宪法和法律的规定，履行</w:t>
      </w:r>
      <w:r>
        <w:rPr>
          <w:rStyle w:val="60"/>
          <w:rFonts w:hint="eastAsia" w:ascii="仿宋_GB2312" w:hAnsi="宋体" w:eastAsia="仿宋_GB2312"/>
          <w:color w:val="000000"/>
          <w:sz w:val="32"/>
          <w:szCs w:val="32"/>
        </w:rPr>
        <w:t>检察</w:t>
      </w:r>
      <w:r>
        <w:rPr>
          <w:rStyle w:val="60"/>
          <w:rFonts w:ascii="仿宋_GB2312" w:hAnsi="宋体" w:eastAsia="仿宋_GB2312"/>
          <w:color w:val="000000"/>
          <w:sz w:val="32"/>
          <w:szCs w:val="32"/>
        </w:rPr>
        <w:t>职责和对</w:t>
      </w:r>
      <w:r>
        <w:rPr>
          <w:rStyle w:val="60"/>
          <w:rFonts w:hint="eastAsia" w:ascii="仿宋_GB2312" w:hAnsi="宋体" w:eastAsia="仿宋_GB2312"/>
          <w:color w:val="000000"/>
          <w:sz w:val="32"/>
          <w:szCs w:val="32"/>
        </w:rPr>
        <w:t>检察</w:t>
      </w:r>
      <w:r>
        <w:rPr>
          <w:rStyle w:val="60"/>
          <w:rFonts w:ascii="仿宋_GB2312" w:hAnsi="宋体" w:eastAsia="仿宋_GB2312"/>
          <w:color w:val="000000"/>
          <w:sz w:val="32"/>
          <w:szCs w:val="32"/>
        </w:rPr>
        <w:t>工作指导监督任务，综合考虑办案成本和工作量，保障</w:t>
      </w:r>
      <w:r>
        <w:rPr>
          <w:rStyle w:val="60"/>
          <w:rFonts w:hint="eastAsia" w:ascii="仿宋_GB2312" w:hAnsi="宋体" w:eastAsia="仿宋_GB2312"/>
          <w:color w:val="000000"/>
          <w:sz w:val="32"/>
          <w:szCs w:val="32"/>
        </w:rPr>
        <w:t>检察</w:t>
      </w:r>
      <w:r>
        <w:rPr>
          <w:rStyle w:val="60"/>
          <w:rFonts w:ascii="仿宋_GB2312" w:hAnsi="宋体" w:eastAsia="仿宋_GB2312"/>
          <w:color w:val="000000"/>
          <w:sz w:val="32"/>
          <w:szCs w:val="32"/>
        </w:rPr>
        <w:t>工作正常开展。</w:t>
      </w:r>
      <w:r>
        <w:rPr>
          <w:rStyle w:val="60"/>
          <w:rFonts w:hint="eastAsia" w:ascii="仿宋_GB2312" w:hAnsi="宋体" w:eastAsia="仿宋_GB2312"/>
          <w:color w:val="000000"/>
          <w:sz w:val="32"/>
          <w:szCs w:val="32"/>
        </w:rPr>
        <w:t>同时，人民检察院作为国家的法律监督机关又肩负着维护社会公平正义，体现司法文明，推动社会进步的神圣使命。</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（二）项目预算</w:t>
      </w:r>
      <w:r>
        <w:rPr>
          <w:rStyle w:val="20"/>
          <w:rFonts w:ascii="楷体" w:hAnsi="楷体" w:eastAsia="楷体"/>
          <w:spacing w:val="-4"/>
          <w:sz w:val="32"/>
          <w:szCs w:val="32"/>
        </w:rPr>
        <w:t>绩效目标</w:t>
      </w:r>
      <w:r>
        <w:rPr>
          <w:rStyle w:val="20"/>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widowControl/>
        <w:shd w:val="clear" w:color="auto" w:fill="FFFFFF"/>
        <w:spacing w:line="30" w:lineRule="atLeast"/>
        <w:ind w:firstLine="624" w:firstLineChars="200"/>
        <w:jc w:val="left"/>
        <w:rPr>
          <w:rFonts w:ascii="仿宋_GB2312" w:hAnsi="仿宋" w:eastAsia="仿宋_GB2312"/>
          <w:bCs/>
          <w:color w:val="FF0000"/>
          <w:spacing w:val="-4"/>
          <w:sz w:val="32"/>
          <w:szCs w:val="32"/>
        </w:rPr>
      </w:pPr>
      <w:r>
        <w:rPr>
          <w:rFonts w:hint="eastAsia" w:ascii="仿宋_GB2312" w:hAnsi="仿宋" w:eastAsia="仿宋_GB2312"/>
          <w:bCs/>
          <w:color w:val="000000" w:themeColor="text1"/>
          <w:spacing w:val="-4"/>
          <w:sz w:val="32"/>
          <w:szCs w:val="32"/>
        </w:rPr>
        <w:t>我院业务办案经费的项目起止时间为2018年1月1日—2018年12月31日；项目具体实施单位为</w:t>
      </w: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项目内容为业务办案经费。该项目具体为本单位依据《中华人民共和国刑法》、《中华人民共和国刑事诉讼法》、《中华人民共和国民法》、《中华人民共和国民事诉讼法》等相关的法律法规，以确保每一个案件在整个司法流程中都能公开、公正、透明。本项目的总体目标是坚持司法为民,公正司法，为和静经济社会发展提供坚强有力的司法服务和保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本项目性质为延续项目。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_GB2312" w:hAnsi="仿宋" w:eastAsia="仿宋_GB2312"/>
          <w:bCs/>
          <w:color w:val="000000" w:themeColor="text1"/>
          <w:spacing w:val="-4"/>
          <w:sz w:val="32"/>
          <w:szCs w:val="32"/>
        </w:rPr>
      </w:pP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和静县人民检察院办案业务经费项目用途主要用于差旅费、维修维护费、邮寄费、劳务费、被装购置费、其他交通费、培训费、印刷费、其他车辆运行维护费等。</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_GB2312" w:hAnsi="仿宋" w:eastAsia="仿宋_GB2312"/>
          <w:bCs/>
          <w:color w:val="000000" w:themeColor="text1"/>
          <w:spacing w:val="-4"/>
          <w:sz w:val="32"/>
          <w:szCs w:val="32"/>
        </w:rPr>
      </w:pP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和静县人民检察院办案业务经费项目预算安排总额为74.7万元，其中财政资金74.7万元，2018年实际收到预算资金74.7万元。</w:t>
      </w:r>
      <w:r>
        <w:rPr>
          <w:rFonts w:hint="eastAsia" w:ascii="仿宋_GB2312" w:hAnsi="仿宋" w:eastAsia="仿宋_GB2312"/>
          <w:color w:val="000000" w:themeColor="text1"/>
          <w:sz w:val="32"/>
          <w:szCs w:val="32"/>
        </w:rPr>
        <w:t>”</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本项目实际支付资金74.7万元，预算执行率100%项目资金主要用于支付办公费用9万元、支付邮电费用13万元、支付差旅费5万元、支付维修费17.18万元、支付培训费5万元、支付资本支出 10.58万元、车辆维修费14.94万元、</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20"/>
          <w:rFonts w:ascii="仿宋_GB2312" w:hAnsi="仿宋" w:eastAsia="仿宋_GB2312"/>
          <w:b w:val="0"/>
          <w:bCs w:val="0"/>
          <w:color w:val="FF0000"/>
          <w:spacing w:val="-4"/>
          <w:sz w:val="32"/>
          <w:szCs w:val="32"/>
        </w:rPr>
      </w:pPr>
      <w:r>
        <w:rPr>
          <w:rFonts w:hint="eastAsia" w:ascii="仿宋_GB2312" w:hAnsi="仿宋" w:eastAsia="仿宋_GB2312"/>
          <w:bCs/>
          <w:color w:val="000000" w:themeColor="text1"/>
          <w:spacing w:val="-4"/>
          <w:sz w:val="32"/>
          <w:szCs w:val="32"/>
        </w:rPr>
        <w:t>本项目支出符合</w:t>
      </w: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widowControl/>
        <w:shd w:val="clear" w:color="auto" w:fill="FFFFFF"/>
        <w:spacing w:line="30" w:lineRule="atLeast"/>
        <w:ind w:firstLine="624" w:firstLineChars="200"/>
        <w:jc w:val="left"/>
        <w:rPr>
          <w:rStyle w:val="20"/>
          <w:rFonts w:ascii="仿宋_GB2312" w:hAnsi="仿宋" w:eastAsia="仿宋_GB2312"/>
          <w:b w:val="0"/>
          <w:color w:val="000000" w:themeColor="text1"/>
          <w:spacing w:val="-4"/>
          <w:sz w:val="32"/>
          <w:szCs w:val="32"/>
        </w:rPr>
      </w:pPr>
      <w:r>
        <w:rPr>
          <w:rStyle w:val="20"/>
          <w:rFonts w:hint="eastAsia" w:ascii="仿宋_GB2312" w:hAnsi="仿宋" w:eastAsia="仿宋_GB2312"/>
          <w:b w:val="0"/>
          <w:color w:val="000000" w:themeColor="text1"/>
          <w:spacing w:val="-4"/>
          <w:sz w:val="32"/>
          <w:szCs w:val="32"/>
        </w:rPr>
        <w:t>该项目属于经常性零星项目,没有达到招投标限额,由本单位自行组织实施。实施过程均按照最高人民检察院制定的办案业务经费项目管理制度执行。</w:t>
      </w:r>
    </w:p>
    <w:p>
      <w:pPr>
        <w:widowControl/>
        <w:shd w:val="clear" w:color="auto" w:fill="FFFFFF"/>
        <w:spacing w:line="30" w:lineRule="atLeast"/>
        <w:ind w:firstLine="624" w:firstLineChars="200"/>
        <w:jc w:val="left"/>
        <w:rPr>
          <w:rStyle w:val="20"/>
          <w:rFonts w:ascii="仿宋_GB2312" w:hAnsi="仿宋" w:eastAsia="仿宋_GB2312"/>
          <w:b w:val="0"/>
          <w:color w:val="000000" w:themeColor="text1"/>
          <w:spacing w:val="-4"/>
          <w:sz w:val="32"/>
          <w:szCs w:val="32"/>
        </w:rPr>
      </w:pPr>
      <w:r>
        <w:rPr>
          <w:rStyle w:val="20"/>
          <w:rFonts w:hint="eastAsia" w:ascii="仿宋_GB2312" w:hAnsi="仿宋" w:eastAsia="仿宋_GB2312"/>
          <w:b w:val="0"/>
          <w:color w:val="000000" w:themeColor="text1"/>
          <w:spacing w:val="-4"/>
          <w:sz w:val="32"/>
          <w:szCs w:val="32"/>
        </w:rPr>
        <w:t>2018年，</w:t>
      </w:r>
      <w:r>
        <w:rPr>
          <w:rStyle w:val="60"/>
          <w:rFonts w:hint="eastAsia" w:ascii="仿宋_GB2312" w:hAnsi="宋体" w:eastAsia="仿宋_GB2312"/>
          <w:color w:val="000000"/>
          <w:sz w:val="32"/>
          <w:szCs w:val="32"/>
          <w:lang w:val="zh-TW" w:eastAsia="zh-TW"/>
        </w:rPr>
        <w:t>新疆巴州</w:t>
      </w:r>
      <w:r>
        <w:rPr>
          <w:rStyle w:val="20"/>
          <w:rFonts w:hint="eastAsia" w:ascii="仿宋_GB2312" w:hAnsi="仿宋" w:eastAsia="仿宋_GB2312"/>
          <w:b w:val="0"/>
          <w:color w:val="000000" w:themeColor="text1"/>
          <w:spacing w:val="-4"/>
          <w:sz w:val="32"/>
          <w:szCs w:val="32"/>
        </w:rPr>
        <w:t>和静县人民检察院紧紧围绕“让人民群众在每一个司法案件中感受到公平正义”的目标，坚持司法为民、公正司法，推进司法改革，强化过硬队伍建设，各项工作取得了新的进展。检察院2018年办案经费县级配套74.7万元，资金全部到位，资金使用率100%。</w:t>
      </w:r>
    </w:p>
    <w:p>
      <w:pPr>
        <w:adjustRightInd w:val="0"/>
        <w:snapToGrid w:val="0"/>
        <w:spacing w:line="560" w:lineRule="exact"/>
        <w:ind w:firstLine="624" w:firstLineChars="200"/>
        <w:rPr>
          <w:rStyle w:val="20"/>
          <w:rFonts w:ascii="仿宋_GB2312" w:hAnsi="仿宋" w:eastAsia="仿宋_GB2312"/>
          <w:b w:val="0"/>
          <w:color w:val="000000" w:themeColor="text1"/>
          <w:spacing w:val="-4"/>
          <w:sz w:val="32"/>
          <w:szCs w:val="32"/>
        </w:rPr>
      </w:pPr>
      <w:r>
        <w:rPr>
          <w:rStyle w:val="20"/>
          <w:rFonts w:hint="eastAsia" w:ascii="仿宋_GB2312" w:hAnsi="仿宋" w:eastAsia="仿宋_GB2312"/>
          <w:b w:val="0"/>
          <w:color w:val="000000" w:themeColor="text1"/>
          <w:spacing w:val="-4"/>
          <w:sz w:val="32"/>
          <w:szCs w:val="32"/>
        </w:rPr>
        <w:t>本项目不存在调整情况。</w:t>
      </w:r>
    </w:p>
    <w:p>
      <w:pPr>
        <w:adjustRightInd w:val="0"/>
        <w:snapToGrid w:val="0"/>
        <w:spacing w:line="560" w:lineRule="exact"/>
        <w:ind w:firstLine="624" w:firstLineChars="200"/>
        <w:rPr>
          <w:rStyle w:val="20"/>
          <w:rFonts w:ascii="仿宋_GB2312" w:hAnsi="仿宋" w:eastAsia="仿宋_GB2312"/>
          <w:b w:val="0"/>
          <w:color w:val="000000" w:themeColor="text1"/>
          <w:spacing w:val="-4"/>
          <w:sz w:val="32"/>
          <w:szCs w:val="32"/>
        </w:rPr>
      </w:pPr>
      <w:r>
        <w:rPr>
          <w:rStyle w:val="20"/>
          <w:rFonts w:hint="eastAsia" w:ascii="仿宋_GB2312" w:hAnsi="仿宋" w:eastAsia="仿宋_GB2312"/>
          <w:b w:val="0"/>
          <w:color w:val="000000" w:themeColor="text1"/>
          <w:spacing w:val="-4"/>
          <w:sz w:val="32"/>
          <w:szCs w:val="32"/>
        </w:rPr>
        <w:t>本项目不存在检查验收程序。</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（二）项目管理情况分析</w:t>
      </w:r>
    </w:p>
    <w:p>
      <w:pPr>
        <w:widowControl/>
        <w:shd w:val="clear" w:color="auto" w:fill="FFFFFF"/>
        <w:spacing w:line="30" w:lineRule="atLeast"/>
        <w:ind w:firstLine="640" w:firstLineChars="200"/>
        <w:jc w:val="left"/>
        <w:rPr>
          <w:rStyle w:val="20"/>
          <w:rFonts w:ascii="仿宋_GB2312" w:hAnsi="仿宋" w:eastAsia="仿宋_GB2312"/>
          <w:b w:val="0"/>
          <w:color w:val="000000" w:themeColor="text1"/>
          <w:spacing w:val="-4"/>
          <w:sz w:val="32"/>
          <w:szCs w:val="32"/>
        </w:rPr>
      </w:pPr>
      <w:r>
        <w:rPr>
          <w:rStyle w:val="60"/>
          <w:rFonts w:hint="eastAsia" w:ascii="仿宋_GB2312" w:hAnsi="宋体" w:eastAsia="仿宋_GB2312"/>
          <w:color w:val="000000"/>
          <w:sz w:val="32"/>
          <w:szCs w:val="32"/>
          <w:lang w:val="zh-TW" w:eastAsia="zh-TW"/>
        </w:rPr>
        <w:t>新疆巴州</w:t>
      </w:r>
      <w:r>
        <w:rPr>
          <w:rStyle w:val="60"/>
          <w:rFonts w:hint="eastAsia" w:ascii="仿宋_GB2312" w:hAnsi="宋体" w:eastAsia="仿宋_GB2312"/>
          <w:color w:val="000000"/>
          <w:sz w:val="32"/>
          <w:szCs w:val="32"/>
          <w:lang w:val="zh-TW" w:eastAsia="zh-CN"/>
        </w:rPr>
        <w:t>和静县人民</w:t>
      </w:r>
      <w:r>
        <w:rPr>
          <w:rFonts w:hint="eastAsia" w:ascii="仿宋_GB2312" w:hAnsi="仿宋" w:eastAsia="仿宋_GB2312"/>
          <w:bCs/>
          <w:color w:val="000000" w:themeColor="text1"/>
          <w:spacing w:val="-4"/>
          <w:sz w:val="32"/>
          <w:szCs w:val="32"/>
        </w:rPr>
        <w:t>检察院资金管理工作在院党组领导下，由办公室具体负责管理。一是认真贯彻执行中央八项规定精神，严格按要求控制公务用车购置和运行维护、培训等经费支出，降低检察工作成本；二是资金使用按照《和静县人民检察院财务管理制度》、《和静县人民法院机关事务管理规定》等规定执行，做到以制度管人管事管钱；三是严格预算管理，实行资金使用按权限审批、大额开支院党组集体研究，做到无预算不开支，减少开支随意性。</w:t>
      </w:r>
      <w:r>
        <w:rPr>
          <w:rFonts w:hint="eastAsia" w:ascii="仿宋_GB2312" w:hAnsi="仿宋" w:eastAsia="仿宋_GB2312"/>
          <w:bCs/>
          <w:color w:val="000000" w:themeColor="text1"/>
          <w:spacing w:val="-4"/>
          <w:sz w:val="32"/>
          <w:szCs w:val="32"/>
        </w:rPr>
        <w:br w:type="textWrapping"/>
      </w:r>
      <w:r>
        <w:rPr>
          <w:rFonts w:hint="eastAsia" w:ascii="仿宋_GB2312" w:hAnsi="仿宋" w:eastAsia="仿宋_GB2312"/>
          <w:bCs/>
          <w:color w:val="000000" w:themeColor="text1"/>
          <w:spacing w:val="-4"/>
          <w:sz w:val="32"/>
          <w:szCs w:val="32"/>
          <w:lang w:val="en-US" w:eastAsia="zh-CN"/>
        </w:rPr>
        <w:t xml:space="preserve">    </w:t>
      </w:r>
      <w:r>
        <w:rPr>
          <w:rFonts w:hint="eastAsia" w:ascii="仿宋_GB2312" w:hAnsi="仿宋" w:eastAsia="仿宋_GB2312"/>
          <w:bCs/>
          <w:color w:val="000000" w:themeColor="text1"/>
          <w:spacing w:val="-4"/>
          <w:sz w:val="32"/>
          <w:szCs w:val="32"/>
        </w:rPr>
        <w:t>从财务支出审查情况看，财务管理制度总体较健全，会计核算真实、完整、及时，用款程序规范，项目各项支出基本合理，但内部控制制度有待加强。</w:t>
      </w:r>
    </w:p>
    <w:p>
      <w:pPr>
        <w:adjustRightInd w:val="0"/>
        <w:snapToGrid w:val="0"/>
        <w:spacing w:line="560" w:lineRule="exact"/>
        <w:ind w:firstLine="624" w:firstLineChars="200"/>
        <w:outlineLvl w:val="0"/>
        <w:rPr>
          <w:rStyle w:val="20"/>
          <w:rFonts w:ascii="黑体" w:hAnsi="黑体" w:eastAsia="黑体"/>
        </w:rPr>
      </w:pPr>
      <w:r>
        <w:rPr>
          <w:rStyle w:val="20"/>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left="357" w:leftChars="170" w:firstLine="180" w:firstLineChars="100"/>
        <w:rPr>
          <w:rFonts w:ascii="仿宋_GB2312" w:hAnsi="仿宋" w:eastAsia="仿宋_GB2312"/>
          <w:bCs/>
          <w:color w:val="000000" w:themeColor="text1"/>
          <w:spacing w:val="-4"/>
          <w:sz w:val="32"/>
          <w:szCs w:val="32"/>
        </w:rPr>
      </w:pPr>
      <w:r>
        <w:rPr>
          <w:rFonts w:ascii="Arial" w:hAnsi="Arial" w:cs="Arial"/>
          <w:kern w:val="0"/>
          <w:sz w:val="18"/>
          <w:szCs w:val="18"/>
          <w:shd w:val="clear" w:color="auto" w:fill="FFFFFF"/>
        </w:rPr>
        <w:t>　</w:t>
      </w:r>
      <w:r>
        <w:rPr>
          <w:rFonts w:hint="eastAsia" w:ascii="仿宋_GB2312" w:hAnsi="仿宋" w:eastAsia="仿宋_GB2312"/>
          <w:bCs/>
          <w:color w:val="000000" w:themeColor="text1"/>
          <w:spacing w:val="-4"/>
          <w:sz w:val="32"/>
          <w:szCs w:val="32"/>
        </w:rPr>
        <w:t xml:space="preserve"> 1．投入目标完成情况</w:t>
      </w:r>
    </w:p>
    <w:p>
      <w:pPr>
        <w:adjustRightInd w:val="0"/>
        <w:snapToGrid w:val="0"/>
        <w:spacing w:line="560" w:lineRule="exact"/>
        <w:ind w:left="357" w:leftChars="170"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2018年，</w:t>
      </w: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紧紧围绕“让人民群众在每一个司法案件中感受到公平正义”的目标，坚持司法为民、公正司法，推进司法改革，强化过硬队伍建设，各项工作取得了新的进展。检察院2018年办案经费县级配套74.7万元，资金全部到位，资金使用率100%。</w:t>
      </w:r>
      <w:r>
        <w:rPr>
          <w:rFonts w:hint="eastAsia" w:ascii="仿宋_GB2312" w:hAnsi="仿宋" w:eastAsia="仿宋_GB2312"/>
          <w:bCs/>
          <w:color w:val="000000" w:themeColor="text1"/>
          <w:spacing w:val="-4"/>
          <w:sz w:val="32"/>
          <w:szCs w:val="32"/>
        </w:rPr>
        <w:br w:type="textWrapping"/>
      </w:r>
      <w:r>
        <w:rPr>
          <w:rFonts w:hint="eastAsia" w:ascii="仿宋_GB2312" w:hAnsi="仿宋" w:eastAsia="仿宋_GB2312"/>
          <w:bCs/>
          <w:color w:val="000000" w:themeColor="text1"/>
          <w:spacing w:val="-4"/>
          <w:sz w:val="32"/>
          <w:szCs w:val="32"/>
        </w:rPr>
        <w:t>　　2．产出目标完成情况</w:t>
      </w:r>
      <w:r>
        <w:rPr>
          <w:rFonts w:hint="eastAsia" w:ascii="仿宋_GB2312" w:hAnsi="仿宋" w:eastAsia="仿宋_GB2312"/>
          <w:bCs/>
          <w:color w:val="000000" w:themeColor="text1"/>
          <w:spacing w:val="-4"/>
          <w:sz w:val="32"/>
          <w:szCs w:val="32"/>
        </w:rPr>
        <w:br w:type="textWrapping"/>
      </w:r>
      <w:r>
        <w:rPr>
          <w:rFonts w:hint="eastAsia" w:ascii="仿宋_GB2312" w:hAnsi="仿宋" w:eastAsia="仿宋_GB2312"/>
          <w:bCs/>
          <w:color w:val="000000" w:themeColor="text1"/>
          <w:spacing w:val="-4"/>
          <w:sz w:val="32"/>
          <w:szCs w:val="32"/>
        </w:rPr>
        <w:t xml:space="preserve">  </w:t>
      </w:r>
      <w:r>
        <w:rPr>
          <w:rStyle w:val="60"/>
          <w:rFonts w:hint="eastAsia" w:ascii="仿宋_GB2312" w:hAnsi="宋体" w:eastAsia="仿宋_GB2312"/>
          <w:color w:val="000000"/>
          <w:sz w:val="32"/>
          <w:szCs w:val="32"/>
          <w:lang w:val="zh-TW" w:eastAsia="zh-TW"/>
        </w:rPr>
        <w:t>新疆巴州</w:t>
      </w:r>
      <w:r>
        <w:rPr>
          <w:rStyle w:val="60"/>
          <w:rFonts w:hint="eastAsia" w:ascii="仿宋_GB2312" w:hAnsi="宋体" w:eastAsia="仿宋_GB2312"/>
          <w:color w:val="000000"/>
          <w:sz w:val="32"/>
          <w:szCs w:val="32"/>
          <w:lang w:val="zh-TW" w:eastAsia="zh-CN"/>
        </w:rPr>
        <w:t>和静县人民</w:t>
      </w:r>
      <w:r>
        <w:rPr>
          <w:rFonts w:hint="eastAsia" w:ascii="仿宋_GB2312" w:hAnsi="仿宋" w:eastAsia="仿宋_GB2312"/>
          <w:bCs/>
          <w:color w:val="000000" w:themeColor="text1"/>
          <w:spacing w:val="-4"/>
          <w:sz w:val="32"/>
          <w:szCs w:val="32"/>
        </w:rPr>
        <w:t>检察院受理各类案件 1002件，其中刑事案件受理数844件，民商事案件受理数128件，申诉、涉诉上访案件受理数29件，审结844件，其中刑事案件结案数843件，民商事案件结案数128件，申诉案件数29件。</w:t>
      </w:r>
    </w:p>
    <w:p>
      <w:pPr>
        <w:adjustRightInd w:val="0"/>
        <w:snapToGrid w:val="0"/>
        <w:spacing w:line="560" w:lineRule="exact"/>
        <w:ind w:left="357" w:leftChars="170"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效益目标完成情况</w:t>
      </w:r>
    </w:p>
    <w:p>
      <w:pPr>
        <w:adjustRightInd w:val="0"/>
        <w:snapToGrid w:val="0"/>
        <w:spacing w:line="560" w:lineRule="exac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在检察院审限内结案；增加案件检察的透明度，促进社会公平正义，未出现造成不良影响的事件；当事人对案件检察工作满意提升，检察工作有力惩处了各类犯罪，保护人民群众合法权益，维护社会安定稳定，促进经济社会健康发展，维护社会公平正义。</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_GB2312" w:hAnsi="楷体" w:eastAsia="仿宋_GB2312"/>
          <w:b/>
          <w:spacing w:val="-4"/>
          <w:sz w:val="32"/>
          <w:szCs w:val="32"/>
        </w:rPr>
      </w:pPr>
      <w:r>
        <w:rPr>
          <w:rFonts w:hint="eastAsia" w:ascii="仿宋_GB2312" w:hAnsi="仿宋" w:eastAsia="仿宋_GB2312"/>
          <w:bCs/>
          <w:color w:val="000000" w:themeColor="text1"/>
          <w:spacing w:val="-4"/>
          <w:sz w:val="32"/>
          <w:szCs w:val="32"/>
        </w:rPr>
        <w:t>2018年，我院认真按照最高人民检察院及县财政局的要求开展了贯穿项目管理和预算执行全过程的预算绩效管理工作，结合部门年度预算编制同步编报绩效目标，开展绩效监控，对财政支出绩效和绩效管理工作进行自评，形成了较为完整的预算绩效管理体系。制定的绩效目标、自评指标充分体现检察工作特点，实现目标科学合理，评价客观有效。2018年度的绩效管理工作情况除了在单位内部公开，还专项报告最高人民检察院，在编制部门预算工作中，也结合绩效管理情况，提出相关意见和建议，促进预算编制更加科学合理，在绩效结果公开和应用方面进行了有益的探索。</w:t>
      </w:r>
    </w:p>
    <w:p>
      <w:pPr>
        <w:adjustRightInd w:val="0"/>
        <w:snapToGrid w:val="0"/>
        <w:spacing w:line="560" w:lineRule="exact"/>
        <w:ind w:firstLine="627" w:firstLineChars="200"/>
        <w:outlineLvl w:val="0"/>
        <w:rPr>
          <w:rFonts w:ascii="黑体" w:hAnsi="仿宋" w:eastAsia="黑体"/>
          <w:bCs/>
          <w:color w:val="FF0000"/>
          <w:spacing w:val="-4"/>
          <w:sz w:val="32"/>
          <w:szCs w:val="32"/>
        </w:rPr>
      </w:pPr>
      <w:r>
        <w:rPr>
          <w:rFonts w:hint="eastAsia" w:ascii="黑体" w:hAnsi="楷体" w:eastAsia="黑体"/>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一年来，</w:t>
      </w:r>
      <w:r>
        <w:rPr>
          <w:rStyle w:val="60"/>
          <w:rFonts w:hint="eastAsia" w:ascii="仿宋_GB2312" w:hAnsi="宋体" w:eastAsia="仿宋_GB2312"/>
          <w:color w:val="000000"/>
          <w:sz w:val="32"/>
          <w:szCs w:val="32"/>
          <w:lang w:val="zh-TW" w:eastAsia="zh-TW"/>
        </w:rPr>
        <w:t>新疆巴州</w:t>
      </w:r>
      <w:r>
        <w:rPr>
          <w:rFonts w:hint="eastAsia" w:ascii="仿宋_GB2312" w:hAnsi="仿宋" w:eastAsia="仿宋_GB2312"/>
          <w:bCs/>
          <w:color w:val="000000" w:themeColor="text1"/>
          <w:spacing w:val="-4"/>
          <w:sz w:val="32"/>
          <w:szCs w:val="32"/>
        </w:rPr>
        <w:t>和静县人民检察院依法履行检察职责，严格公正司法，但由于案件大幅增长，疑难复杂重大敏感案件不断增多，化解矛盾纠纷的难度也不断加大，检察工作中出现了一些问题和困难，有待在今后工作中采取有效措施认真加以解决。</w:t>
      </w:r>
    </w:p>
    <w:p>
      <w:pPr>
        <w:numPr>
          <w:ilvl w:val="0"/>
          <w:numId w:val="1"/>
        </w:numPr>
        <w:adjustRightInd w:val="0"/>
        <w:snapToGrid w:val="0"/>
        <w:spacing w:line="560" w:lineRule="exact"/>
        <w:ind w:firstLine="624" w:firstLineChars="200"/>
        <w:rPr>
          <w:rFonts w:ascii="楷体_GB2312" w:hAnsi="仿宋" w:eastAsia="楷体_GB2312"/>
          <w:bCs/>
          <w:color w:val="000000" w:themeColor="text1"/>
          <w:spacing w:val="-4"/>
          <w:sz w:val="32"/>
          <w:szCs w:val="32"/>
        </w:rPr>
      </w:pPr>
      <w:r>
        <w:rPr>
          <w:rFonts w:hint="eastAsia" w:ascii="楷体_GB2312" w:hAnsi="仿宋" w:eastAsia="楷体_GB2312"/>
          <w:bCs/>
          <w:color w:val="000000" w:themeColor="text1"/>
          <w:spacing w:val="-4"/>
          <w:sz w:val="32"/>
          <w:szCs w:val="32"/>
        </w:rPr>
        <w:t>存在的问题</w:t>
      </w:r>
    </w:p>
    <w:p>
      <w:pPr>
        <w:adjustRightInd w:val="0"/>
        <w:snapToGrid w:val="0"/>
        <w:spacing w:line="560" w:lineRule="exact"/>
        <w:ind w:left="420" w:leftChars="200" w:firstLine="624" w:firstLineChars="200"/>
        <w:rPr>
          <w:rFonts w:ascii="仿宋" w:hAnsi="仿宋" w:eastAsia="仿宋"/>
          <w:bCs/>
          <w:color w:val="000000" w:themeColor="text1"/>
          <w:spacing w:val="-4"/>
          <w:sz w:val="32"/>
          <w:szCs w:val="32"/>
        </w:rPr>
      </w:pPr>
      <w:r>
        <w:rPr>
          <w:rFonts w:hint="eastAsia" w:ascii="楷体_GB2312" w:hAnsi="仿宋" w:eastAsia="楷体_GB2312"/>
          <w:bCs/>
          <w:color w:val="000000" w:themeColor="text1"/>
          <w:spacing w:val="-4"/>
          <w:sz w:val="32"/>
          <w:szCs w:val="32"/>
        </w:rPr>
        <w:t>检察任务繁重的情况下，检察工作化解矛盾纠纷的能力和水平还不能很好地满足人民群众需求，案多人少的情况较为突出。</w:t>
      </w:r>
      <w:r>
        <w:rPr>
          <w:rFonts w:hint="eastAsia" w:ascii="楷体_GB2312" w:hAnsi="仿宋" w:eastAsia="楷体_GB2312"/>
          <w:bCs/>
          <w:color w:val="000000" w:themeColor="text1"/>
          <w:spacing w:val="-4"/>
          <w:sz w:val="32"/>
          <w:szCs w:val="32"/>
        </w:rPr>
        <w:br w:type="textWrapping"/>
      </w:r>
      <w:r>
        <w:rPr>
          <w:rFonts w:ascii="仿宋" w:hAnsi="仿宋" w:eastAsia="仿宋"/>
          <w:bCs/>
          <w:color w:val="000000" w:themeColor="text1"/>
          <w:spacing w:val="-4"/>
          <w:sz w:val="32"/>
          <w:szCs w:val="32"/>
        </w:rPr>
        <w:t>　　</w:t>
      </w:r>
      <w:r>
        <w:rPr>
          <w:rFonts w:hint="eastAsia" w:ascii="仿宋" w:hAnsi="仿宋" w:eastAsia="仿宋"/>
          <w:bCs/>
          <w:color w:val="000000" w:themeColor="text1"/>
          <w:spacing w:val="-4"/>
          <w:sz w:val="32"/>
          <w:szCs w:val="32"/>
        </w:rPr>
        <w:t>建议</w:t>
      </w:r>
    </w:p>
    <w:p>
      <w:pPr>
        <w:adjustRightInd w:val="0"/>
        <w:snapToGrid w:val="0"/>
        <w:spacing w:line="560" w:lineRule="exact"/>
        <w:ind w:left="420" w:leftChars="200" w:firstLine="624" w:firstLineChars="200"/>
        <w:rPr>
          <w:rFonts w:ascii="仿宋_GB2312" w:hAnsi="仿宋" w:eastAsia="仿宋_GB2312"/>
          <w:bCs/>
          <w:spacing w:val="-4"/>
          <w:sz w:val="32"/>
          <w:szCs w:val="32"/>
        </w:rPr>
      </w:pPr>
      <w:r>
        <w:rPr>
          <w:rFonts w:hint="eastAsia" w:ascii="仿宋_GB2312" w:hAnsi="仿宋" w:eastAsia="仿宋_GB2312"/>
          <w:bCs/>
          <w:color w:val="000000" w:themeColor="text1"/>
          <w:spacing w:val="-4"/>
          <w:sz w:val="32"/>
          <w:szCs w:val="32"/>
        </w:rPr>
        <w:t>针对上述存在问题，我们在今后办案业务管理工作中要采取以下改进措施：</w:t>
      </w:r>
      <w:r>
        <w:rPr>
          <w:rFonts w:hint="eastAsia" w:ascii="仿宋_GB2312" w:hAnsi="仿宋" w:eastAsia="仿宋_GB2312"/>
          <w:bCs/>
          <w:color w:val="000000" w:themeColor="text1"/>
          <w:spacing w:val="-4"/>
          <w:sz w:val="32"/>
          <w:szCs w:val="32"/>
        </w:rPr>
        <w:br w:type="textWrapping"/>
      </w:r>
      <w:r>
        <w:rPr>
          <w:rFonts w:hint="eastAsia" w:ascii="仿宋_GB2312" w:hAnsi="仿宋" w:eastAsia="仿宋_GB2312"/>
          <w:bCs/>
          <w:color w:val="000000" w:themeColor="text1"/>
          <w:spacing w:val="-4"/>
          <w:sz w:val="32"/>
          <w:szCs w:val="32"/>
        </w:rPr>
        <w:t>一要优化检察资源配置，通过内部挖潜，落实“检察力量向一线倾斜”的要求，缓解“人少案多”矛盾。加强检察管理，严格审限控制，积极采取措施，促进均衡结案。</w:t>
      </w:r>
      <w:r>
        <w:rPr>
          <w:rFonts w:hint="eastAsia" w:ascii="仿宋_GB2312" w:hAnsi="仿宋" w:eastAsia="仿宋_GB2312"/>
          <w:bCs/>
          <w:color w:val="000000" w:themeColor="text1"/>
          <w:spacing w:val="-4"/>
          <w:sz w:val="32"/>
          <w:szCs w:val="32"/>
        </w:rPr>
        <w:br w:type="textWrapping"/>
      </w:r>
      <w:r>
        <w:rPr>
          <w:rFonts w:hint="eastAsia" w:ascii="仿宋_GB2312" w:hAnsi="仿宋" w:eastAsia="仿宋_GB2312"/>
          <w:bCs/>
          <w:color w:val="000000" w:themeColor="text1"/>
          <w:spacing w:val="-4"/>
          <w:sz w:val="32"/>
          <w:szCs w:val="32"/>
        </w:rPr>
        <w:t>　　二要根据检察法院工作实际，多与相关部门沟通协调，认真研究分析，提出科学的指标考评体系，使指标设置更为合理，真正起到加强财政资金预算管理，结合绩效评价结果，适当提高检察院年初业务办案项目预算，保障检察院检察工作顺利开展。</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无其他说明内容。</w:t>
      </w:r>
    </w:p>
    <w:p>
      <w:pPr>
        <w:numPr>
          <w:ilvl w:val="0"/>
          <w:numId w:val="2"/>
        </w:num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项目评价工作情况</w:t>
      </w:r>
    </w:p>
    <w:p>
      <w:pPr>
        <w:adjustRightInd w:val="0"/>
        <w:snapToGrid w:val="0"/>
        <w:spacing w:line="560" w:lineRule="exact"/>
        <w:ind w:firstLine="624" w:firstLineChars="200"/>
        <w:outlineLvl w:val="0"/>
        <w:rPr>
          <w:rFonts w:ascii="仿宋_GB2312" w:hAnsi="仿宋" w:eastAsia="仿宋_GB2312"/>
          <w:color w:val="FF0000"/>
          <w:spacing w:val="-4"/>
          <w:sz w:val="32"/>
          <w:szCs w:val="32"/>
        </w:rPr>
      </w:pPr>
      <w:r>
        <w:rPr>
          <w:rFonts w:hint="eastAsia" w:ascii="仿宋_GB2312" w:hAnsi="仿宋" w:eastAsia="仿宋_GB2312"/>
          <w:bCs/>
          <w:color w:val="000000" w:themeColor="text1"/>
          <w:spacing w:val="-4"/>
          <w:sz w:val="32"/>
          <w:szCs w:val="32"/>
        </w:rPr>
        <w:t>办案业务经费项目资金管理过程规范，程序到位，完成了预期绩效目标，群众满意，社会反响好。取得了巨大的社会效益，维护了社会的稳定。</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adjustRightInd w:val="0"/>
        <w:snapToGrid w:val="0"/>
        <w:spacing w:line="560" w:lineRule="exact"/>
        <w:ind w:firstLine="624" w:firstLineChars="200"/>
        <w:rPr>
          <w:rStyle w:val="20"/>
          <w:rFonts w:ascii="仿宋" w:hAnsi="仿宋" w:eastAsia="仿宋"/>
          <w:b w:val="0"/>
          <w:spacing w:val="-4"/>
          <w:sz w:val="32"/>
          <w:szCs w:val="32"/>
        </w:rPr>
      </w:pPr>
      <w:r>
        <w:rPr>
          <w:rStyle w:val="20"/>
          <w:rFonts w:hint="eastAsia" w:ascii="仿宋" w:hAnsi="仿宋" w:eastAsia="仿宋"/>
          <w:b w:val="0"/>
          <w:spacing w:val="-4"/>
          <w:sz w:val="32"/>
          <w:szCs w:val="32"/>
        </w:rPr>
        <w:t>《项目支出绩效目标自评表》</w:t>
      </w:r>
    </w:p>
    <w:p>
      <w:pPr>
        <w:widowControl/>
        <w:jc w:val="center"/>
        <w:rPr>
          <w:rFonts w:ascii="宋体" w:hAnsi="宋体" w:cs="宋体"/>
          <w:b/>
          <w:bCs/>
          <w:kern w:val="0"/>
          <w:sz w:val="32"/>
          <w:szCs w:val="32"/>
        </w:rPr>
      </w:pPr>
    </w:p>
    <w:p>
      <w:pPr>
        <w:adjustRightInd w:val="0"/>
        <w:snapToGrid w:val="0"/>
        <w:spacing w:line="560" w:lineRule="exact"/>
        <w:ind w:firstLine="627" w:firstLineChars="200"/>
        <w:rPr>
          <w:rStyle w:val="20"/>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monospace">
    <w:altName w:val="Courier New"/>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16DD1"/>
    <w:multiLevelType w:val="singleLevel"/>
    <w:tmpl w:val="3C216DD1"/>
    <w:lvl w:ilvl="0" w:tentative="0">
      <w:start w:val="6"/>
      <w:numFmt w:val="chineseCounting"/>
      <w:suff w:val="nothing"/>
      <w:lvlText w:val="%1、"/>
      <w:lvlJc w:val="left"/>
      <w:rPr>
        <w:rFonts w:hint="eastAsia"/>
      </w:rPr>
    </w:lvl>
  </w:abstractNum>
  <w:abstractNum w:abstractNumId="1">
    <w:nsid w:val="6C3419A3"/>
    <w:multiLevelType w:val="singleLevel"/>
    <w:tmpl w:val="6C3419A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0396F"/>
    <w:rsid w:val="000309C9"/>
    <w:rsid w:val="000840F4"/>
    <w:rsid w:val="000943A5"/>
    <w:rsid w:val="000E7353"/>
    <w:rsid w:val="000F024F"/>
    <w:rsid w:val="000F37C7"/>
    <w:rsid w:val="00112358"/>
    <w:rsid w:val="0012208E"/>
    <w:rsid w:val="00135256"/>
    <w:rsid w:val="001628C5"/>
    <w:rsid w:val="0017355F"/>
    <w:rsid w:val="00174AEF"/>
    <w:rsid w:val="001938C3"/>
    <w:rsid w:val="001A4E1F"/>
    <w:rsid w:val="001A57B9"/>
    <w:rsid w:val="001C3847"/>
    <w:rsid w:val="001F3031"/>
    <w:rsid w:val="002075A1"/>
    <w:rsid w:val="00210A26"/>
    <w:rsid w:val="00214D59"/>
    <w:rsid w:val="00215E36"/>
    <w:rsid w:val="00224236"/>
    <w:rsid w:val="00237EE7"/>
    <w:rsid w:val="002464BD"/>
    <w:rsid w:val="0026717A"/>
    <w:rsid w:val="00277E01"/>
    <w:rsid w:val="002820DF"/>
    <w:rsid w:val="0029740F"/>
    <w:rsid w:val="002A2532"/>
    <w:rsid w:val="002A2D76"/>
    <w:rsid w:val="002A649E"/>
    <w:rsid w:val="002A7818"/>
    <w:rsid w:val="002A7ADC"/>
    <w:rsid w:val="002C0BB4"/>
    <w:rsid w:val="002F1099"/>
    <w:rsid w:val="00303650"/>
    <w:rsid w:val="0030653C"/>
    <w:rsid w:val="00336262"/>
    <w:rsid w:val="00342D95"/>
    <w:rsid w:val="00365250"/>
    <w:rsid w:val="0036624C"/>
    <w:rsid w:val="00385849"/>
    <w:rsid w:val="003A0F74"/>
    <w:rsid w:val="003C250E"/>
    <w:rsid w:val="003D5C3B"/>
    <w:rsid w:val="003D6A60"/>
    <w:rsid w:val="003F5C07"/>
    <w:rsid w:val="004075D1"/>
    <w:rsid w:val="004464BE"/>
    <w:rsid w:val="00447D36"/>
    <w:rsid w:val="00490E3F"/>
    <w:rsid w:val="004A384C"/>
    <w:rsid w:val="004E5238"/>
    <w:rsid w:val="004F31CF"/>
    <w:rsid w:val="004F40EB"/>
    <w:rsid w:val="0050167F"/>
    <w:rsid w:val="005033C7"/>
    <w:rsid w:val="00514506"/>
    <w:rsid w:val="005162F1"/>
    <w:rsid w:val="00516E80"/>
    <w:rsid w:val="00535153"/>
    <w:rsid w:val="00575CFE"/>
    <w:rsid w:val="00583AFC"/>
    <w:rsid w:val="00592D09"/>
    <w:rsid w:val="005A047F"/>
    <w:rsid w:val="005A7915"/>
    <w:rsid w:val="005C6101"/>
    <w:rsid w:val="005F0A5E"/>
    <w:rsid w:val="00614EF4"/>
    <w:rsid w:val="00631723"/>
    <w:rsid w:val="00634F4C"/>
    <w:rsid w:val="00675D58"/>
    <w:rsid w:val="006821E6"/>
    <w:rsid w:val="00686663"/>
    <w:rsid w:val="00692AE2"/>
    <w:rsid w:val="006A3F4E"/>
    <w:rsid w:val="006B32E1"/>
    <w:rsid w:val="006D4911"/>
    <w:rsid w:val="006D7AF7"/>
    <w:rsid w:val="006F2E6D"/>
    <w:rsid w:val="006F2FB6"/>
    <w:rsid w:val="00721559"/>
    <w:rsid w:val="007218B8"/>
    <w:rsid w:val="00725D04"/>
    <w:rsid w:val="007442F8"/>
    <w:rsid w:val="007476B0"/>
    <w:rsid w:val="0075203F"/>
    <w:rsid w:val="00755C6A"/>
    <w:rsid w:val="00756DB2"/>
    <w:rsid w:val="007653EE"/>
    <w:rsid w:val="00773028"/>
    <w:rsid w:val="00785FDE"/>
    <w:rsid w:val="007926B9"/>
    <w:rsid w:val="007A0351"/>
    <w:rsid w:val="007A14BC"/>
    <w:rsid w:val="007C1025"/>
    <w:rsid w:val="007D7BB2"/>
    <w:rsid w:val="007E6845"/>
    <w:rsid w:val="007F5F8A"/>
    <w:rsid w:val="008028D3"/>
    <w:rsid w:val="00826CA1"/>
    <w:rsid w:val="008350F1"/>
    <w:rsid w:val="00835B7F"/>
    <w:rsid w:val="00836A23"/>
    <w:rsid w:val="00841260"/>
    <w:rsid w:val="00844884"/>
    <w:rsid w:val="00845420"/>
    <w:rsid w:val="0084715B"/>
    <w:rsid w:val="00853015"/>
    <w:rsid w:val="00855E3A"/>
    <w:rsid w:val="008840BE"/>
    <w:rsid w:val="0088507C"/>
    <w:rsid w:val="008B1994"/>
    <w:rsid w:val="008B353B"/>
    <w:rsid w:val="008C4B37"/>
    <w:rsid w:val="008D6D9C"/>
    <w:rsid w:val="009003E2"/>
    <w:rsid w:val="0090211D"/>
    <w:rsid w:val="0091593C"/>
    <w:rsid w:val="00922CB9"/>
    <w:rsid w:val="00932464"/>
    <w:rsid w:val="009350F7"/>
    <w:rsid w:val="00957632"/>
    <w:rsid w:val="00964411"/>
    <w:rsid w:val="00987E9F"/>
    <w:rsid w:val="009B526F"/>
    <w:rsid w:val="009C1AFD"/>
    <w:rsid w:val="009C6E57"/>
    <w:rsid w:val="00A06894"/>
    <w:rsid w:val="00A26421"/>
    <w:rsid w:val="00A2726D"/>
    <w:rsid w:val="00A4293B"/>
    <w:rsid w:val="00A55ADD"/>
    <w:rsid w:val="00A55C08"/>
    <w:rsid w:val="00A605F7"/>
    <w:rsid w:val="00A83BD5"/>
    <w:rsid w:val="00A977DF"/>
    <w:rsid w:val="00AA0C49"/>
    <w:rsid w:val="00AB309C"/>
    <w:rsid w:val="00AE6A23"/>
    <w:rsid w:val="00AF5871"/>
    <w:rsid w:val="00B06CA5"/>
    <w:rsid w:val="00B166C3"/>
    <w:rsid w:val="00B32083"/>
    <w:rsid w:val="00B355BF"/>
    <w:rsid w:val="00B41F61"/>
    <w:rsid w:val="00B55332"/>
    <w:rsid w:val="00B6631C"/>
    <w:rsid w:val="00B70D31"/>
    <w:rsid w:val="00B7112A"/>
    <w:rsid w:val="00B72FE7"/>
    <w:rsid w:val="00B8323A"/>
    <w:rsid w:val="00B86E8C"/>
    <w:rsid w:val="00B97547"/>
    <w:rsid w:val="00BA1B3D"/>
    <w:rsid w:val="00BE1A00"/>
    <w:rsid w:val="00C11B4E"/>
    <w:rsid w:val="00C13D21"/>
    <w:rsid w:val="00C22CF0"/>
    <w:rsid w:val="00C230BB"/>
    <w:rsid w:val="00C3396F"/>
    <w:rsid w:val="00C54EE8"/>
    <w:rsid w:val="00C56C72"/>
    <w:rsid w:val="00C76F61"/>
    <w:rsid w:val="00C819E8"/>
    <w:rsid w:val="00C932F6"/>
    <w:rsid w:val="00CA5C89"/>
    <w:rsid w:val="00CA6457"/>
    <w:rsid w:val="00CB28E6"/>
    <w:rsid w:val="00CC6E4D"/>
    <w:rsid w:val="00D17F2E"/>
    <w:rsid w:val="00D217D2"/>
    <w:rsid w:val="00D37BBD"/>
    <w:rsid w:val="00D448EA"/>
    <w:rsid w:val="00D45A43"/>
    <w:rsid w:val="00D46194"/>
    <w:rsid w:val="00D60784"/>
    <w:rsid w:val="00D6190E"/>
    <w:rsid w:val="00D670D3"/>
    <w:rsid w:val="00D93651"/>
    <w:rsid w:val="00DA464D"/>
    <w:rsid w:val="00DC1C81"/>
    <w:rsid w:val="00DC7B8F"/>
    <w:rsid w:val="00E01293"/>
    <w:rsid w:val="00E027D1"/>
    <w:rsid w:val="00E17C61"/>
    <w:rsid w:val="00E279FF"/>
    <w:rsid w:val="00E34937"/>
    <w:rsid w:val="00E43018"/>
    <w:rsid w:val="00E769FE"/>
    <w:rsid w:val="00E95591"/>
    <w:rsid w:val="00EA2CBE"/>
    <w:rsid w:val="00EF33B9"/>
    <w:rsid w:val="00EF3C42"/>
    <w:rsid w:val="00EF5F10"/>
    <w:rsid w:val="00F14F08"/>
    <w:rsid w:val="00F15C63"/>
    <w:rsid w:val="00F211E2"/>
    <w:rsid w:val="00F27D9B"/>
    <w:rsid w:val="00F32FEE"/>
    <w:rsid w:val="00F344D9"/>
    <w:rsid w:val="00F53E69"/>
    <w:rsid w:val="00F774F1"/>
    <w:rsid w:val="00FA6681"/>
    <w:rsid w:val="12A14095"/>
    <w:rsid w:val="1C93149A"/>
    <w:rsid w:val="27233EFD"/>
    <w:rsid w:val="27F204A1"/>
    <w:rsid w:val="333D4B4D"/>
    <w:rsid w:val="341C55EE"/>
    <w:rsid w:val="4F325967"/>
    <w:rsid w:val="66832194"/>
    <w:rsid w:val="6BC878E8"/>
    <w:rsid w:val="700105FA"/>
    <w:rsid w:val="76166C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3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3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3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3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4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57"/>
    <w:unhideWhenUsed/>
    <w:qFormat/>
    <w:uiPriority w:val="99"/>
    <w:rPr>
      <w:rFonts w:ascii="宋体"/>
      <w:sz w:val="18"/>
      <w:szCs w:val="18"/>
    </w:rPr>
  </w:style>
  <w:style w:type="paragraph" w:styleId="12">
    <w:name w:val="Balloon Text"/>
    <w:basedOn w:val="1"/>
    <w:link w:val="58"/>
    <w:unhideWhenUsed/>
    <w:qFormat/>
    <w:uiPriority w:val="99"/>
    <w:rPr>
      <w:sz w:val="18"/>
      <w:szCs w:val="18"/>
    </w:rPr>
  </w:style>
  <w:style w:type="paragraph" w:styleId="13">
    <w:name w:val="footer"/>
    <w:basedOn w:val="1"/>
    <w:link w:val="5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5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4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semiHidden/>
    <w:unhideWhenUsed/>
    <w:qFormat/>
    <w:uiPriority w:val="99"/>
    <w:pPr>
      <w:jc w:val="left"/>
    </w:pPr>
    <w:rPr>
      <w:kern w:val="0"/>
      <w:sz w:val="24"/>
    </w:rPr>
  </w:style>
  <w:style w:type="paragraph" w:styleId="17">
    <w:name w:val="Title"/>
    <w:basedOn w:val="1"/>
    <w:next w:val="1"/>
    <w:link w:val="4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FollowedHyperlink"/>
    <w:basedOn w:val="19"/>
    <w:semiHidden/>
    <w:unhideWhenUsed/>
    <w:qFormat/>
    <w:uiPriority w:val="99"/>
    <w:rPr>
      <w:color w:val="000000"/>
      <w:u w:val="none"/>
    </w:rPr>
  </w:style>
  <w:style w:type="character" w:styleId="22">
    <w:name w:val="Emphasis"/>
    <w:basedOn w:val="19"/>
    <w:qFormat/>
    <w:uiPriority w:val="20"/>
    <w:rPr>
      <w:rFonts w:asciiTheme="minorHAnsi" w:hAnsiTheme="minorHAnsi"/>
      <w:b/>
      <w:i/>
      <w:iCs/>
    </w:rPr>
  </w:style>
  <w:style w:type="character" w:styleId="23">
    <w:name w:val="HTML Definition"/>
    <w:basedOn w:val="19"/>
    <w:semiHidden/>
    <w:unhideWhenUsed/>
    <w:qFormat/>
    <w:uiPriority w:val="99"/>
  </w:style>
  <w:style w:type="character" w:styleId="24">
    <w:name w:val="HTML Typewriter"/>
    <w:basedOn w:val="19"/>
    <w:semiHidden/>
    <w:unhideWhenUsed/>
    <w:qFormat/>
    <w:uiPriority w:val="99"/>
    <w:rPr>
      <w:rFonts w:hint="default" w:ascii="monospace" w:hAnsi="monospace" w:eastAsia="monospace" w:cs="monospace"/>
      <w:sz w:val="20"/>
    </w:rPr>
  </w:style>
  <w:style w:type="character" w:styleId="25">
    <w:name w:val="HTML Acronym"/>
    <w:basedOn w:val="19"/>
    <w:semiHidden/>
    <w:unhideWhenUsed/>
    <w:uiPriority w:val="99"/>
  </w:style>
  <w:style w:type="character" w:styleId="26">
    <w:name w:val="HTML Variable"/>
    <w:basedOn w:val="19"/>
    <w:semiHidden/>
    <w:unhideWhenUsed/>
    <w:qFormat/>
    <w:uiPriority w:val="99"/>
  </w:style>
  <w:style w:type="character" w:styleId="27">
    <w:name w:val="Hyperlink"/>
    <w:basedOn w:val="19"/>
    <w:semiHidden/>
    <w:unhideWhenUsed/>
    <w:qFormat/>
    <w:uiPriority w:val="99"/>
    <w:rPr>
      <w:color w:val="000000"/>
      <w:u w:val="none"/>
    </w:rPr>
  </w:style>
  <w:style w:type="character" w:styleId="28">
    <w:name w:val="HTML Code"/>
    <w:basedOn w:val="19"/>
    <w:semiHidden/>
    <w:unhideWhenUsed/>
    <w:qFormat/>
    <w:uiPriority w:val="99"/>
    <w:rPr>
      <w:rFonts w:hint="default" w:ascii="monospace" w:hAnsi="monospace" w:eastAsia="monospace" w:cs="monospace"/>
      <w:sz w:val="20"/>
    </w:rPr>
  </w:style>
  <w:style w:type="character" w:styleId="29">
    <w:name w:val="HTML Cite"/>
    <w:basedOn w:val="19"/>
    <w:semiHidden/>
    <w:unhideWhenUsed/>
    <w:qFormat/>
    <w:uiPriority w:val="99"/>
  </w:style>
  <w:style w:type="character" w:styleId="30">
    <w:name w:val="HTML Keyboard"/>
    <w:basedOn w:val="19"/>
    <w:semiHidden/>
    <w:unhideWhenUsed/>
    <w:uiPriority w:val="99"/>
    <w:rPr>
      <w:rFonts w:hint="default" w:ascii="monospace" w:hAnsi="monospace" w:eastAsia="monospace" w:cs="monospace"/>
      <w:sz w:val="20"/>
    </w:rPr>
  </w:style>
  <w:style w:type="character" w:styleId="31">
    <w:name w:val="HTML Sample"/>
    <w:basedOn w:val="19"/>
    <w:semiHidden/>
    <w:unhideWhenUsed/>
    <w:qFormat/>
    <w:uiPriority w:val="99"/>
    <w:rPr>
      <w:rFonts w:ascii="monospace" w:hAnsi="monospace" w:eastAsia="monospace" w:cs="monospace"/>
    </w:rPr>
  </w:style>
  <w:style w:type="character" w:customStyle="1" w:styleId="32">
    <w:name w:val="标题 1 Char"/>
    <w:basedOn w:val="19"/>
    <w:link w:val="2"/>
    <w:uiPriority w:val="9"/>
    <w:rPr>
      <w:rFonts w:asciiTheme="majorHAnsi" w:hAnsiTheme="majorHAnsi" w:eastAsiaTheme="majorEastAsia"/>
      <w:b/>
      <w:bCs/>
      <w:kern w:val="32"/>
      <w:sz w:val="32"/>
      <w:szCs w:val="32"/>
    </w:rPr>
  </w:style>
  <w:style w:type="character" w:customStyle="1" w:styleId="33">
    <w:name w:val="标题 2 Char"/>
    <w:basedOn w:val="19"/>
    <w:link w:val="3"/>
    <w:semiHidden/>
    <w:qFormat/>
    <w:uiPriority w:val="9"/>
    <w:rPr>
      <w:rFonts w:asciiTheme="majorHAnsi" w:hAnsiTheme="majorHAnsi" w:eastAsiaTheme="majorEastAsia"/>
      <w:b/>
      <w:bCs/>
      <w:i/>
      <w:iCs/>
      <w:sz w:val="28"/>
      <w:szCs w:val="28"/>
    </w:rPr>
  </w:style>
  <w:style w:type="character" w:customStyle="1" w:styleId="34">
    <w:name w:val="标题 3 Char"/>
    <w:basedOn w:val="19"/>
    <w:link w:val="4"/>
    <w:semiHidden/>
    <w:qFormat/>
    <w:uiPriority w:val="9"/>
    <w:rPr>
      <w:rFonts w:asciiTheme="majorHAnsi" w:hAnsiTheme="majorHAnsi" w:eastAsiaTheme="majorEastAsia"/>
      <w:b/>
      <w:bCs/>
      <w:sz w:val="26"/>
      <w:szCs w:val="26"/>
    </w:rPr>
  </w:style>
  <w:style w:type="character" w:customStyle="1" w:styleId="35">
    <w:name w:val="标题 4 Char"/>
    <w:basedOn w:val="19"/>
    <w:link w:val="5"/>
    <w:semiHidden/>
    <w:qFormat/>
    <w:uiPriority w:val="9"/>
    <w:rPr>
      <w:b/>
      <w:bCs/>
      <w:sz w:val="28"/>
      <w:szCs w:val="28"/>
    </w:rPr>
  </w:style>
  <w:style w:type="character" w:customStyle="1" w:styleId="36">
    <w:name w:val="标题 5 Char"/>
    <w:basedOn w:val="19"/>
    <w:link w:val="6"/>
    <w:semiHidden/>
    <w:qFormat/>
    <w:uiPriority w:val="9"/>
    <w:rPr>
      <w:b/>
      <w:bCs/>
      <w:i/>
      <w:iCs/>
      <w:sz w:val="26"/>
      <w:szCs w:val="26"/>
    </w:rPr>
  </w:style>
  <w:style w:type="character" w:customStyle="1" w:styleId="37">
    <w:name w:val="标题 6 Char"/>
    <w:basedOn w:val="19"/>
    <w:link w:val="7"/>
    <w:semiHidden/>
    <w:qFormat/>
    <w:uiPriority w:val="9"/>
    <w:rPr>
      <w:b/>
      <w:bCs/>
    </w:rPr>
  </w:style>
  <w:style w:type="character" w:customStyle="1" w:styleId="38">
    <w:name w:val="标题 7 Char"/>
    <w:basedOn w:val="19"/>
    <w:link w:val="8"/>
    <w:semiHidden/>
    <w:qFormat/>
    <w:uiPriority w:val="9"/>
    <w:rPr>
      <w:sz w:val="24"/>
      <w:szCs w:val="24"/>
    </w:rPr>
  </w:style>
  <w:style w:type="character" w:customStyle="1" w:styleId="39">
    <w:name w:val="标题 8 Char"/>
    <w:basedOn w:val="19"/>
    <w:link w:val="9"/>
    <w:semiHidden/>
    <w:qFormat/>
    <w:uiPriority w:val="9"/>
    <w:rPr>
      <w:i/>
      <w:iCs/>
      <w:sz w:val="24"/>
      <w:szCs w:val="24"/>
    </w:rPr>
  </w:style>
  <w:style w:type="character" w:customStyle="1" w:styleId="40">
    <w:name w:val="标题 9 Char"/>
    <w:basedOn w:val="19"/>
    <w:link w:val="10"/>
    <w:semiHidden/>
    <w:qFormat/>
    <w:uiPriority w:val="9"/>
    <w:rPr>
      <w:rFonts w:asciiTheme="majorHAnsi" w:hAnsiTheme="majorHAnsi" w:eastAsiaTheme="majorEastAsia"/>
    </w:rPr>
  </w:style>
  <w:style w:type="character" w:customStyle="1" w:styleId="41">
    <w:name w:val="标题 Char"/>
    <w:basedOn w:val="19"/>
    <w:link w:val="17"/>
    <w:qFormat/>
    <w:uiPriority w:val="10"/>
    <w:rPr>
      <w:rFonts w:asciiTheme="majorHAnsi" w:hAnsiTheme="majorHAnsi" w:eastAsiaTheme="majorEastAsia"/>
      <w:b/>
      <w:bCs/>
      <w:kern w:val="28"/>
      <w:sz w:val="32"/>
      <w:szCs w:val="32"/>
    </w:rPr>
  </w:style>
  <w:style w:type="character" w:customStyle="1" w:styleId="42">
    <w:name w:val="副标题 Char"/>
    <w:basedOn w:val="19"/>
    <w:link w:val="15"/>
    <w:qFormat/>
    <w:uiPriority w:val="11"/>
    <w:rPr>
      <w:rFonts w:asciiTheme="majorHAnsi" w:hAnsiTheme="majorHAnsi" w:eastAsiaTheme="majorEastAsia"/>
      <w:sz w:val="24"/>
      <w:szCs w:val="24"/>
    </w:rPr>
  </w:style>
  <w:style w:type="paragraph" w:customStyle="1" w:styleId="4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4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45">
    <w:name w:val="引用1"/>
    <w:basedOn w:val="1"/>
    <w:next w:val="1"/>
    <w:link w:val="46"/>
    <w:qFormat/>
    <w:uiPriority w:val="29"/>
    <w:pPr>
      <w:widowControl/>
      <w:jc w:val="left"/>
    </w:pPr>
    <w:rPr>
      <w:rFonts w:asciiTheme="minorHAnsi" w:hAnsiTheme="minorHAnsi" w:eastAsiaTheme="minorEastAsia"/>
      <w:i/>
      <w:kern w:val="0"/>
      <w:sz w:val="24"/>
    </w:rPr>
  </w:style>
  <w:style w:type="character" w:customStyle="1" w:styleId="46">
    <w:name w:val="引用 Char"/>
    <w:basedOn w:val="19"/>
    <w:link w:val="45"/>
    <w:qFormat/>
    <w:uiPriority w:val="29"/>
    <w:rPr>
      <w:i/>
      <w:sz w:val="24"/>
      <w:szCs w:val="24"/>
    </w:rPr>
  </w:style>
  <w:style w:type="paragraph" w:customStyle="1" w:styleId="47">
    <w:name w:val="明显引用1"/>
    <w:basedOn w:val="1"/>
    <w:next w:val="1"/>
    <w:link w:val="48"/>
    <w:qFormat/>
    <w:uiPriority w:val="30"/>
    <w:pPr>
      <w:widowControl/>
      <w:ind w:left="720" w:right="720"/>
      <w:jc w:val="left"/>
    </w:pPr>
    <w:rPr>
      <w:rFonts w:asciiTheme="minorHAnsi" w:hAnsiTheme="minorHAnsi" w:eastAsiaTheme="minorEastAsia"/>
      <w:b/>
      <w:i/>
      <w:kern w:val="0"/>
      <w:sz w:val="24"/>
      <w:szCs w:val="22"/>
    </w:rPr>
  </w:style>
  <w:style w:type="character" w:customStyle="1" w:styleId="48">
    <w:name w:val="明显引用 Char"/>
    <w:basedOn w:val="19"/>
    <w:link w:val="47"/>
    <w:qFormat/>
    <w:uiPriority w:val="30"/>
    <w:rPr>
      <w:b/>
      <w:i/>
      <w:sz w:val="24"/>
    </w:rPr>
  </w:style>
  <w:style w:type="character" w:customStyle="1" w:styleId="49">
    <w:name w:val="不明显强调1"/>
    <w:qFormat/>
    <w:uiPriority w:val="19"/>
    <w:rPr>
      <w:i/>
      <w:color w:val="595959" w:themeColor="text1" w:themeTint="A5"/>
    </w:rPr>
  </w:style>
  <w:style w:type="character" w:customStyle="1" w:styleId="50">
    <w:name w:val="明显强调1"/>
    <w:basedOn w:val="19"/>
    <w:qFormat/>
    <w:uiPriority w:val="21"/>
    <w:rPr>
      <w:b/>
      <w:i/>
      <w:sz w:val="24"/>
      <w:szCs w:val="24"/>
      <w:u w:val="single"/>
    </w:rPr>
  </w:style>
  <w:style w:type="character" w:customStyle="1" w:styleId="51">
    <w:name w:val="不明显参考1"/>
    <w:basedOn w:val="19"/>
    <w:qFormat/>
    <w:uiPriority w:val="31"/>
    <w:rPr>
      <w:sz w:val="24"/>
      <w:szCs w:val="24"/>
      <w:u w:val="single"/>
    </w:rPr>
  </w:style>
  <w:style w:type="character" w:customStyle="1" w:styleId="52">
    <w:name w:val="明显参考1"/>
    <w:basedOn w:val="19"/>
    <w:qFormat/>
    <w:uiPriority w:val="32"/>
    <w:rPr>
      <w:b/>
      <w:sz w:val="24"/>
      <w:u w:val="single"/>
    </w:rPr>
  </w:style>
  <w:style w:type="character" w:customStyle="1" w:styleId="53">
    <w:name w:val="书籍标题1"/>
    <w:basedOn w:val="19"/>
    <w:qFormat/>
    <w:uiPriority w:val="33"/>
    <w:rPr>
      <w:rFonts w:asciiTheme="majorHAnsi" w:hAnsiTheme="majorHAnsi" w:eastAsiaTheme="majorEastAsia"/>
      <w:b/>
      <w:i/>
      <w:sz w:val="24"/>
      <w:szCs w:val="24"/>
    </w:rPr>
  </w:style>
  <w:style w:type="paragraph" w:customStyle="1" w:styleId="54">
    <w:name w:val="TOC 标题1"/>
    <w:basedOn w:val="2"/>
    <w:next w:val="1"/>
    <w:unhideWhenUsed/>
    <w:qFormat/>
    <w:uiPriority w:val="39"/>
    <w:pPr>
      <w:outlineLvl w:val="9"/>
    </w:pPr>
    <w:rPr>
      <w:lang w:eastAsia="en-US" w:bidi="en-US"/>
    </w:rPr>
  </w:style>
  <w:style w:type="character" w:customStyle="1" w:styleId="55">
    <w:name w:val="页眉 Char"/>
    <w:basedOn w:val="19"/>
    <w:link w:val="14"/>
    <w:qFormat/>
    <w:uiPriority w:val="99"/>
    <w:rPr>
      <w:rFonts w:ascii="Calibri" w:hAnsi="Calibri" w:eastAsia="宋体"/>
      <w:kern w:val="2"/>
      <w:sz w:val="18"/>
      <w:szCs w:val="18"/>
    </w:rPr>
  </w:style>
  <w:style w:type="character" w:customStyle="1" w:styleId="56">
    <w:name w:val="页脚 Char"/>
    <w:basedOn w:val="19"/>
    <w:link w:val="13"/>
    <w:qFormat/>
    <w:uiPriority w:val="99"/>
    <w:rPr>
      <w:rFonts w:ascii="Calibri" w:hAnsi="Calibri" w:eastAsia="宋体"/>
      <w:kern w:val="2"/>
      <w:sz w:val="18"/>
      <w:szCs w:val="18"/>
    </w:rPr>
  </w:style>
  <w:style w:type="character" w:customStyle="1" w:styleId="57">
    <w:name w:val="文档结构图 Char"/>
    <w:basedOn w:val="19"/>
    <w:link w:val="11"/>
    <w:semiHidden/>
    <w:qFormat/>
    <w:uiPriority w:val="99"/>
    <w:rPr>
      <w:rFonts w:ascii="宋体" w:hAnsi="Times New Roman" w:eastAsia="宋体"/>
      <w:kern w:val="2"/>
      <w:sz w:val="18"/>
      <w:szCs w:val="18"/>
    </w:rPr>
  </w:style>
  <w:style w:type="character" w:customStyle="1" w:styleId="58">
    <w:name w:val="批注框文本 Char"/>
    <w:basedOn w:val="19"/>
    <w:link w:val="12"/>
    <w:semiHidden/>
    <w:uiPriority w:val="99"/>
    <w:rPr>
      <w:rFonts w:ascii="Times New Roman" w:hAnsi="Times New Roman" w:eastAsia="宋体"/>
      <w:kern w:val="2"/>
      <w:sz w:val="18"/>
      <w:szCs w:val="18"/>
    </w:rPr>
  </w:style>
  <w:style w:type="paragraph" w:customStyle="1" w:styleId="59">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60">
    <w:name w:val="news_content"/>
    <w:basedOn w:val="19"/>
    <w:qFormat/>
    <w:uiPriority w:val="0"/>
  </w:style>
  <w:style w:type="character" w:customStyle="1" w:styleId="61">
    <w:name w:val="right"/>
    <w:basedOn w:val="19"/>
    <w:qFormat/>
    <w:uiPriority w:val="0"/>
  </w:style>
  <w:style w:type="character" w:customStyle="1" w:styleId="62">
    <w:name w:val="right1"/>
    <w:basedOn w:val="19"/>
    <w:uiPriority w:val="0"/>
  </w:style>
  <w:style w:type="character" w:customStyle="1" w:styleId="63">
    <w:name w:val="right2"/>
    <w:basedOn w:val="19"/>
    <w:qFormat/>
    <w:uiPriority w:val="0"/>
  </w:style>
  <w:style w:type="character" w:customStyle="1" w:styleId="64">
    <w:name w:val="size"/>
    <w:basedOn w:val="19"/>
    <w:qFormat/>
    <w:uiPriority w:val="0"/>
  </w:style>
  <w:style w:type="character" w:customStyle="1" w:styleId="65">
    <w:name w:val="left"/>
    <w:basedOn w:val="19"/>
    <w:qFormat/>
    <w:uiPriority w:val="0"/>
  </w:style>
  <w:style w:type="character" w:customStyle="1" w:styleId="66">
    <w:name w:val="icon7"/>
    <w:basedOn w:val="19"/>
    <w:qFormat/>
    <w:uiPriority w:val="0"/>
  </w:style>
  <w:style w:type="character" w:customStyle="1" w:styleId="67">
    <w:name w:val="icon2"/>
    <w:basedOn w:val="19"/>
    <w:qFormat/>
    <w:uiPriority w:val="0"/>
  </w:style>
  <w:style w:type="character" w:customStyle="1" w:styleId="68">
    <w:name w:val="icon3"/>
    <w:basedOn w:val="19"/>
    <w:qFormat/>
    <w:uiPriority w:val="0"/>
  </w:style>
  <w:style w:type="character" w:customStyle="1" w:styleId="69">
    <w:name w:val="icon1"/>
    <w:basedOn w:val="19"/>
    <w:qFormat/>
    <w:uiPriority w:val="0"/>
  </w:style>
  <w:style w:type="character" w:customStyle="1" w:styleId="70">
    <w:name w:val="icon4"/>
    <w:basedOn w:val="19"/>
    <w:uiPriority w:val="0"/>
  </w:style>
  <w:style w:type="character" w:customStyle="1" w:styleId="71">
    <w:name w:val="icon5"/>
    <w:basedOn w:val="19"/>
    <w:qFormat/>
    <w:uiPriority w:val="0"/>
  </w:style>
  <w:style w:type="character" w:customStyle="1" w:styleId="72">
    <w:name w:val="icon6"/>
    <w:basedOn w:val="19"/>
    <w:qFormat/>
    <w:uiPriority w:val="0"/>
  </w:style>
  <w:style w:type="character" w:customStyle="1" w:styleId="73">
    <w:name w:val="icon8"/>
    <w:basedOn w:val="19"/>
    <w:uiPriority w:val="0"/>
  </w:style>
  <w:style w:type="paragraph" w:customStyle="1" w:styleId="74">
    <w:name w:val="_Style 73"/>
    <w:basedOn w:val="1"/>
    <w:next w:val="1"/>
    <w:qFormat/>
    <w:uiPriority w:val="0"/>
    <w:pPr>
      <w:pBdr>
        <w:bottom w:val="single" w:color="auto" w:sz="6" w:space="1"/>
      </w:pBdr>
      <w:jc w:val="center"/>
    </w:pPr>
    <w:rPr>
      <w:rFonts w:ascii="Arial"/>
      <w:vanish/>
      <w:sz w:val="16"/>
    </w:rPr>
  </w:style>
  <w:style w:type="paragraph" w:customStyle="1" w:styleId="75">
    <w:name w:val="_Style 74"/>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409</Words>
  <Characters>2335</Characters>
  <Lines>19</Lines>
  <Paragraphs>5</Paragraphs>
  <TotalTime>1</TotalTime>
  <ScaleCrop>false</ScaleCrop>
  <LinksUpToDate>false</LinksUpToDate>
  <CharactersWithSpaces>2739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2021-05-29T12:29:25Z</dcterms:modified>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B9D5531915804DB7A96E7C2CA52962C5</vt:lpwstr>
  </property>
</Properties>
</file>