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华文中宋" w:eastAsia="方正小标宋_GBK" w:cs="宋体"/>
          <w:b w:val="0"/>
          <w:bCs/>
          <w:kern w:val="0"/>
          <w:sz w:val="40"/>
          <w:szCs w:val="40"/>
          <w:u w:val="single" w:color="FFFFFF" w:themeColor="background1"/>
        </w:rPr>
      </w:pPr>
      <w:r>
        <w:rPr>
          <w:rFonts w:hint="eastAsia" w:ascii="方正小标宋_GBK" w:hAnsi="华文中宋" w:eastAsia="方正小标宋_GBK" w:cs="宋体"/>
          <w:b w:val="0"/>
          <w:bCs/>
          <w:kern w:val="0"/>
          <w:sz w:val="40"/>
          <w:szCs w:val="40"/>
          <w:u w:val="single" w:color="FFFFFF" w:themeColor="background1"/>
        </w:rPr>
        <w:t>新疆巴州和静县纪律检查委员会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_GBK" w:hAnsi="华文中宋" w:eastAsia="方正小标宋_GBK" w:cs="宋体"/>
          <w:b w:val="0"/>
          <w:bCs/>
          <w:kern w:val="0"/>
          <w:sz w:val="40"/>
          <w:szCs w:val="40"/>
          <w:u w:val="single"/>
        </w:rPr>
      </w:pPr>
      <w:r>
        <w:rPr>
          <w:rFonts w:hint="eastAsia" w:ascii="方正小标宋_GBK" w:hAnsi="华文中宋" w:eastAsia="方正小标宋_GBK" w:cs="宋体"/>
          <w:b w:val="0"/>
          <w:bCs/>
          <w:kern w:val="0"/>
          <w:sz w:val="40"/>
          <w:szCs w:val="40"/>
          <w:u w:val="single" w:color="FFFFFF" w:themeColor="background1"/>
        </w:rPr>
        <w:t>单位项</w:t>
      </w:r>
      <w:r>
        <w:rPr>
          <w:rFonts w:hint="eastAsia" w:ascii="方正小标宋_GBK" w:hAnsi="华文中宋" w:eastAsia="方正小标宋_GBK" w:cs="宋体"/>
          <w:b w:val="0"/>
          <w:bCs/>
          <w:kern w:val="0"/>
          <w:sz w:val="40"/>
          <w:szCs w:val="40"/>
        </w:rPr>
        <w:t>目支出绩效自评报告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Ansi="宋体" w:eastAsia="仿宋_GB2312" w:cs="宋体"/>
          <w:kern w:val="0"/>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2"/>
          <w:szCs w:val="32"/>
        </w:rPr>
      </w:pPr>
      <w:r>
        <w:rPr>
          <w:rFonts w:hint="eastAsia" w:ascii="宋体" w:hAnsi="宋体" w:eastAsia="宋体" w:cs="宋体"/>
          <w:kern w:val="0"/>
          <w:sz w:val="32"/>
          <w:szCs w:val="32"/>
        </w:rPr>
        <w:t>项目名称：和静县纪委监委办案费、巡查工作经费</w:t>
      </w:r>
    </w:p>
    <w:p>
      <w:pPr>
        <w:keepNext w:val="0"/>
        <w:keepLines w:val="0"/>
        <w:pageBreakBefore w:val="0"/>
        <w:widowControl w:val="0"/>
        <w:kinsoku/>
        <w:wordWrap/>
        <w:overflowPunct/>
        <w:topLinePunct w:val="0"/>
        <w:autoSpaceDE/>
        <w:autoSpaceDN/>
        <w:bidi w:val="0"/>
        <w:adjustRightInd/>
        <w:snapToGrid/>
        <w:spacing w:line="600" w:lineRule="exact"/>
        <w:ind w:left="720" w:hanging="640" w:hangingChars="200"/>
        <w:jc w:val="left"/>
        <w:textAlignment w:val="auto"/>
        <w:rPr>
          <w:rFonts w:hint="eastAsia" w:ascii="宋体" w:hAnsi="宋体" w:eastAsia="宋体" w:cs="宋体"/>
          <w:sz w:val="32"/>
          <w:szCs w:val="32"/>
        </w:rPr>
      </w:pPr>
      <w:r>
        <w:rPr>
          <w:rFonts w:hint="eastAsia" w:ascii="宋体" w:hAnsi="宋体" w:eastAsia="宋体" w:cs="宋体"/>
          <w:kern w:val="0"/>
          <w:sz w:val="32"/>
          <w:szCs w:val="32"/>
        </w:rPr>
        <w:t>实施单位（公章）：</w:t>
      </w:r>
      <w:r>
        <w:rPr>
          <w:rFonts w:hint="eastAsia" w:ascii="宋体" w:hAnsi="宋体" w:eastAsia="宋体" w:cs="宋体"/>
          <w:sz w:val="32"/>
          <w:szCs w:val="32"/>
        </w:rPr>
        <w:t>新疆巴音郭楞蒙古自治州和静县</w:t>
      </w:r>
    </w:p>
    <w:p>
      <w:pPr>
        <w:keepNext w:val="0"/>
        <w:keepLines w:val="0"/>
        <w:pageBreakBefore w:val="0"/>
        <w:widowControl w:val="0"/>
        <w:kinsoku/>
        <w:wordWrap/>
        <w:overflowPunct/>
        <w:topLinePunct w:val="0"/>
        <w:autoSpaceDE/>
        <w:autoSpaceDN/>
        <w:bidi w:val="0"/>
        <w:adjustRightInd/>
        <w:snapToGrid/>
        <w:spacing w:line="600" w:lineRule="exact"/>
        <w:ind w:left="722" w:leftChars="344" w:firstLine="2240" w:firstLineChars="700"/>
        <w:jc w:val="left"/>
        <w:textAlignment w:val="auto"/>
        <w:rPr>
          <w:rFonts w:hint="eastAsia" w:ascii="宋体" w:hAnsi="宋体" w:eastAsia="宋体" w:cs="宋体"/>
          <w:sz w:val="32"/>
          <w:szCs w:val="32"/>
        </w:rPr>
      </w:pPr>
      <w:r>
        <w:rPr>
          <w:rFonts w:hint="eastAsia" w:ascii="宋体" w:hAnsi="宋体" w:eastAsia="宋体" w:cs="宋体"/>
          <w:sz w:val="32"/>
          <w:szCs w:val="32"/>
        </w:rPr>
        <w:t>纪律检查委员会</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cs="宋体"/>
          <w:kern w:val="0"/>
          <w:sz w:val="32"/>
          <w:szCs w:val="32"/>
          <w:lang w:val="en-US" w:eastAsia="zh-CN"/>
        </w:rPr>
      </w:pPr>
      <w:r>
        <w:rPr>
          <w:rFonts w:hint="eastAsia" w:ascii="宋体" w:hAnsi="宋体" w:eastAsia="宋体" w:cs="宋体"/>
          <w:kern w:val="0"/>
          <w:sz w:val="32"/>
          <w:szCs w:val="32"/>
        </w:rPr>
        <w:t>主管部门（公章）：</w:t>
      </w:r>
      <w:r>
        <w:rPr>
          <w:rFonts w:hint="eastAsia" w:ascii="宋体" w:hAnsi="宋体" w:cs="宋体"/>
          <w:kern w:val="0"/>
          <w:sz w:val="32"/>
          <w:szCs w:val="32"/>
          <w:lang w:val="en-US" w:eastAsia="zh-CN"/>
        </w:rPr>
        <w:t>中共和静县委员会</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2"/>
          <w:szCs w:val="32"/>
        </w:rPr>
      </w:pPr>
      <w:r>
        <w:rPr>
          <w:rFonts w:hint="eastAsia" w:ascii="宋体" w:hAnsi="宋体" w:eastAsia="宋体" w:cs="宋体"/>
          <w:kern w:val="0"/>
          <w:sz w:val="32"/>
          <w:szCs w:val="32"/>
        </w:rPr>
        <w:t>项目负责人（签章）：渠福田</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2"/>
          <w:szCs w:val="32"/>
        </w:rPr>
      </w:pPr>
      <w:r>
        <w:rPr>
          <w:rFonts w:hint="eastAsia" w:ascii="宋体" w:hAnsi="宋体" w:eastAsia="宋体" w:cs="宋体"/>
          <w:kern w:val="0"/>
          <w:sz w:val="32"/>
          <w:szCs w:val="32"/>
        </w:rPr>
        <w:t>填报时间：2019年1月23日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2"/>
          <w:szCs w:val="32"/>
        </w:rPr>
      </w:pPr>
    </w:p>
    <w:p>
      <w:pPr>
        <w:keepNext w:val="0"/>
        <w:keepLines w:val="0"/>
        <w:pageBreakBefore w:val="0"/>
        <w:widowControl w:val="0"/>
        <w:tabs>
          <w:tab w:val="left" w:pos="503"/>
        </w:tabs>
        <w:kinsoku/>
        <w:wordWrap/>
        <w:overflowPunct/>
        <w:topLinePunct w:val="0"/>
        <w:autoSpaceDE/>
        <w:autoSpaceDN/>
        <w:bidi w:val="0"/>
        <w:adjustRightInd/>
        <w:snapToGrid/>
        <w:spacing w:line="600" w:lineRule="exact"/>
        <w:ind w:firstLine="640"/>
        <w:textAlignment w:val="auto"/>
        <w:rPr>
          <w:rStyle w:val="18"/>
          <w:rFonts w:hint="eastAsia" w:ascii="宋体" w:hAnsi="宋体" w:cs="宋体"/>
          <w:b w:val="0"/>
          <w:spacing w:val="-4"/>
          <w:sz w:val="32"/>
          <w:szCs w:val="32"/>
          <w:lang w:eastAsia="zh-CN"/>
        </w:rPr>
      </w:pPr>
      <w:r>
        <w:rPr>
          <w:rStyle w:val="18"/>
          <w:rFonts w:hint="eastAsia" w:ascii="宋体" w:hAnsi="宋体" w:cs="宋体"/>
          <w:b w:val="0"/>
          <w:spacing w:val="-4"/>
          <w:sz w:val="32"/>
          <w:szCs w:val="32"/>
          <w:lang w:eastAsia="zh-CN"/>
        </w:rPr>
        <w:tab/>
      </w:r>
    </w:p>
    <w:p>
      <w:pPr>
        <w:keepNext w:val="0"/>
        <w:keepLines w:val="0"/>
        <w:pageBreakBefore w:val="0"/>
        <w:widowControl w:val="0"/>
        <w:tabs>
          <w:tab w:val="left" w:pos="503"/>
        </w:tabs>
        <w:kinsoku/>
        <w:wordWrap/>
        <w:overflowPunct/>
        <w:topLinePunct w:val="0"/>
        <w:autoSpaceDE/>
        <w:autoSpaceDN/>
        <w:bidi w:val="0"/>
        <w:adjustRightInd/>
        <w:snapToGrid/>
        <w:spacing w:line="600" w:lineRule="exact"/>
        <w:ind w:firstLine="64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18"/>
          <w:rFonts w:hint="eastAsia" w:ascii="楷体" w:hAnsi="楷体" w:eastAsia="楷体" w:cs="楷体"/>
          <w:spacing w:val="-4"/>
          <w:sz w:val="32"/>
          <w:szCs w:val="32"/>
        </w:rPr>
      </w:pPr>
      <w:r>
        <w:rPr>
          <w:rStyle w:val="18"/>
          <w:rFonts w:hint="eastAsia" w:ascii="楷体" w:hAnsi="楷体" w:eastAsia="楷体" w:cs="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1．主要职能。</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县纪委是实施党内监督，维护和执行党的纪律，协助县委加强党风廉政建设的专门机关，县监察局为县人民政府主管行政监察的职能部门，县纪委与监察局合署办公，实行“履行两种职能”的体制。</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）维护党的章程和其他重要的规章制度。负责党政机关的勤政建设和党员领导干部廉洁自律工作。</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）协助县委、政府抓好党风廉政建设和反腐败工作。负责全县党风廉政建设、纠风目标责任制的落实。</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3</w:t>
      </w:r>
      <w:r>
        <w:rPr>
          <w:rFonts w:hint="eastAsia" w:ascii="仿宋" w:hAnsi="仿宋" w:eastAsia="仿宋"/>
          <w:sz w:val="32"/>
          <w:szCs w:val="32"/>
        </w:rPr>
        <w:t>）检查党的路线、方针、政策和决议的贯彻落实情况。负责全县行政监察和本行政区域内的执法监察及纠正部门和行业不正之风工作。</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4</w:t>
      </w:r>
      <w:r>
        <w:rPr>
          <w:rFonts w:hint="eastAsia" w:ascii="仿宋" w:hAnsi="仿宋" w:eastAsia="仿宋"/>
          <w:sz w:val="32"/>
          <w:szCs w:val="32"/>
        </w:rPr>
        <w:t>）负责协调组织全县党风党纪、政纪教育。</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5</w:t>
      </w:r>
      <w:r>
        <w:rPr>
          <w:rFonts w:hint="eastAsia" w:ascii="仿宋" w:hAnsi="仿宋" w:eastAsia="仿宋"/>
          <w:sz w:val="32"/>
          <w:szCs w:val="32"/>
        </w:rPr>
        <w:t>）检查和处理党员、干部违反党纪政纪案件。</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6</w:t>
      </w:r>
      <w:r>
        <w:rPr>
          <w:rFonts w:hint="eastAsia" w:ascii="仿宋" w:hAnsi="仿宋" w:eastAsia="仿宋"/>
          <w:sz w:val="32"/>
          <w:szCs w:val="32"/>
        </w:rPr>
        <w:t>）受理党员、干部的控告和申诉。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7</w:t>
      </w:r>
      <w:r>
        <w:rPr>
          <w:rFonts w:hint="eastAsia" w:ascii="仿宋" w:hAnsi="仿宋" w:eastAsia="仿宋"/>
          <w:sz w:val="32"/>
          <w:szCs w:val="32"/>
        </w:rPr>
        <w:t>）承办县委、政府交办的其他工作事项。</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2．机构情况</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lang w:eastAsia="zh-CN"/>
        </w:rPr>
      </w:pPr>
      <w:r>
        <w:rPr>
          <w:rFonts w:hint="eastAsia" w:ascii="仿宋" w:hAnsi="仿宋" w:eastAsia="仿宋"/>
          <w:sz w:val="32"/>
          <w:szCs w:val="32"/>
        </w:rPr>
        <w:t>2018 年度，纳入本部门决算汇编范围的独立核算单位共 1个，比上年增减 0个</w:t>
      </w:r>
      <w:r>
        <w:rPr>
          <w:rFonts w:hint="eastAsia" w:ascii="仿宋" w:hAnsi="仿宋" w:eastAsia="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rPr>
          <w:rFonts w:hint="eastAsia" w:ascii="仿宋" w:hAnsi="仿宋" w:eastAsia="仿宋"/>
          <w:sz w:val="32"/>
          <w:szCs w:val="32"/>
        </w:rPr>
      </w:pPr>
      <w:r>
        <w:rPr>
          <w:rFonts w:hint="eastAsia" w:ascii="仿宋" w:hAnsi="仿宋" w:eastAsia="仿宋"/>
          <w:sz w:val="32"/>
          <w:szCs w:val="32"/>
        </w:rPr>
        <w:t>3．人员情况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2018年，我单位定编人数  51人，比上年增加 21个编，增长 70 %。实有人员情况。2018年我单位年末实有人数45 人，比上年增加 15人。</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Style w:val="18"/>
          <w:rFonts w:ascii="仿宋_GB2312" w:hAnsi="楷体" w:eastAsia="仿宋_GB2312"/>
          <w:b/>
          <w:bCs/>
          <w:spacing w:val="-4"/>
          <w:sz w:val="32"/>
          <w:szCs w:val="32"/>
        </w:rPr>
      </w:pPr>
      <w:r>
        <w:rPr>
          <w:rStyle w:val="18"/>
          <w:rFonts w:hint="eastAsia" w:ascii="仿宋_GB2312" w:hAnsi="楷体" w:eastAsia="仿宋_GB2312"/>
          <w:b/>
          <w:bCs/>
          <w:spacing w:val="-4"/>
          <w:sz w:val="32"/>
          <w:szCs w:val="32"/>
        </w:rPr>
        <w:t>（二）</w:t>
      </w:r>
      <w:r>
        <w:rPr>
          <w:rStyle w:val="18"/>
          <w:rFonts w:hint="eastAsia" w:asciiTheme="majorEastAsia" w:hAnsiTheme="majorEastAsia" w:eastAsiaTheme="majorEastAsia" w:cstheme="majorEastAsia"/>
          <w:b/>
          <w:bCs/>
          <w:spacing w:val="-4"/>
          <w:sz w:val="32"/>
          <w:szCs w:val="32"/>
        </w:rPr>
        <w:t>项目预算绩效目标设定情况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sz w:val="32"/>
          <w:szCs w:val="32"/>
          <w:lang w:eastAsia="zh-CN"/>
        </w:rPr>
      </w:pPr>
      <w:r>
        <w:rPr>
          <w:rFonts w:hint="eastAsia" w:ascii="仿宋" w:hAnsi="仿宋" w:eastAsia="仿宋"/>
          <w:sz w:val="32"/>
          <w:szCs w:val="32"/>
          <w:lang w:eastAsia="zh-CN"/>
        </w:rPr>
        <w:t>审查调查</w:t>
      </w:r>
      <w:r>
        <w:rPr>
          <w:rFonts w:hint="eastAsia" w:ascii="仿宋" w:hAnsi="仿宋" w:eastAsia="仿宋"/>
          <w:sz w:val="32"/>
          <w:szCs w:val="32"/>
        </w:rPr>
        <w:t>经费是我委常年使用的日常工作经费项目，201</w:t>
      </w:r>
      <w:r>
        <w:rPr>
          <w:rFonts w:hint="eastAsia" w:ascii="仿宋" w:hAnsi="仿宋" w:eastAsia="仿宋"/>
          <w:sz w:val="32"/>
          <w:szCs w:val="32"/>
          <w:lang w:val="en-US" w:eastAsia="zh-CN"/>
        </w:rPr>
        <w:t>8</w:t>
      </w:r>
      <w:r>
        <w:rPr>
          <w:rFonts w:hint="eastAsia" w:ascii="仿宋" w:hAnsi="仿宋" w:eastAsia="仿宋"/>
          <w:sz w:val="32"/>
          <w:szCs w:val="32"/>
        </w:rPr>
        <w:t>年</w:t>
      </w:r>
      <w:r>
        <w:rPr>
          <w:rFonts w:hint="eastAsia" w:ascii="仿宋" w:hAnsi="仿宋" w:eastAsia="仿宋"/>
          <w:sz w:val="32"/>
          <w:szCs w:val="32"/>
          <w:lang w:eastAsia="zh-CN"/>
        </w:rPr>
        <w:t>审查调查</w:t>
      </w:r>
      <w:r>
        <w:rPr>
          <w:rFonts w:hint="eastAsia" w:ascii="仿宋" w:hAnsi="仿宋" w:eastAsia="仿宋"/>
          <w:sz w:val="32"/>
          <w:szCs w:val="32"/>
        </w:rPr>
        <w:t>经费项目预算</w:t>
      </w:r>
      <w:r>
        <w:rPr>
          <w:rFonts w:hint="eastAsia" w:ascii="仿宋" w:hAnsi="仿宋" w:eastAsia="仿宋"/>
          <w:sz w:val="32"/>
          <w:szCs w:val="32"/>
          <w:lang w:val="en-US" w:eastAsia="zh-CN"/>
        </w:rPr>
        <w:t>77.38</w:t>
      </w:r>
      <w:r>
        <w:rPr>
          <w:rFonts w:hint="eastAsia" w:ascii="仿宋" w:hAnsi="仿宋" w:eastAsia="仿宋"/>
          <w:sz w:val="32"/>
          <w:szCs w:val="32"/>
        </w:rPr>
        <w:t>万元。主要用于办案工作的软硬件建设、查处各种违纪违法案件和配合上级纪委查办各类案件，特别是大案要案的查处工作。根据县财政有关文件精神，本项目严格按财政支出绩效评价的“经济性、效率性、有效性”的原则进行，项目资金使用、财务管理</w:t>
      </w:r>
      <w:r>
        <w:rPr>
          <w:rFonts w:hint="eastAsia" w:ascii="仿宋" w:hAnsi="仿宋" w:eastAsia="仿宋"/>
          <w:sz w:val="32"/>
          <w:szCs w:val="32"/>
          <w:lang w:eastAsia="zh-CN"/>
        </w:rPr>
        <w:t>等</w:t>
      </w:r>
      <w:r>
        <w:rPr>
          <w:rFonts w:hint="eastAsia" w:ascii="仿宋" w:hAnsi="仿宋" w:eastAsia="仿宋"/>
          <w:sz w:val="32"/>
          <w:szCs w:val="32"/>
        </w:rPr>
        <w:t>情况</w:t>
      </w:r>
      <w:r>
        <w:rPr>
          <w:rFonts w:hint="eastAsia" w:ascii="仿宋" w:hAnsi="仿宋" w:eastAsia="仿宋"/>
          <w:sz w:val="32"/>
          <w:szCs w:val="32"/>
          <w:lang w:eastAsia="zh-CN"/>
        </w:rPr>
        <w:t>合法依规。</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asciiTheme="majorEastAsia" w:hAnsiTheme="majorEastAsia" w:eastAsiaTheme="majorEastAsia" w:cstheme="majorEastAsia"/>
          <w:b/>
          <w:bCs w:val="0"/>
          <w:spacing w:val="-4"/>
          <w:sz w:val="32"/>
          <w:szCs w:val="32"/>
        </w:rPr>
        <w:t>、项目资金使用及管理情况</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Style w:val="18"/>
          <w:rFonts w:hint="eastAsia" w:asciiTheme="majorEastAsia" w:hAnsiTheme="majorEastAsia" w:eastAsiaTheme="majorEastAsia" w:cstheme="majorEastAsia"/>
          <w:b/>
          <w:bCs/>
          <w:spacing w:val="-4"/>
          <w:sz w:val="32"/>
          <w:szCs w:val="32"/>
        </w:rPr>
      </w:pPr>
      <w:r>
        <w:rPr>
          <w:rStyle w:val="18"/>
          <w:rFonts w:hint="eastAsia" w:ascii="楷体" w:hAnsi="楷体" w:eastAsia="楷体"/>
          <w:spacing w:val="-4"/>
          <w:sz w:val="32"/>
          <w:szCs w:val="32"/>
        </w:rPr>
        <w:t>（一）</w:t>
      </w:r>
      <w:r>
        <w:rPr>
          <w:rStyle w:val="18"/>
          <w:rFonts w:hint="eastAsia" w:asciiTheme="majorEastAsia" w:hAnsiTheme="majorEastAsia" w:eastAsiaTheme="majorEastAsia" w:cstheme="majorEastAsia"/>
          <w:b/>
          <w:bCs/>
          <w:spacing w:val="-4"/>
          <w:sz w:val="32"/>
          <w:szCs w:val="32"/>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2018年</w:t>
      </w:r>
      <w:r>
        <w:rPr>
          <w:rFonts w:hint="eastAsia" w:ascii="仿宋" w:hAnsi="仿宋" w:eastAsia="仿宋"/>
          <w:sz w:val="32"/>
          <w:szCs w:val="32"/>
          <w:lang w:eastAsia="zh-CN"/>
        </w:rPr>
        <w:t>上级财政拨入审查调查经费</w:t>
      </w:r>
      <w:r>
        <w:rPr>
          <w:rFonts w:hint="eastAsia" w:ascii="仿宋" w:hAnsi="仿宋" w:eastAsia="仿宋"/>
          <w:sz w:val="32"/>
          <w:szCs w:val="32"/>
          <w:lang w:val="en-US" w:eastAsia="zh-CN"/>
        </w:rPr>
        <w:t>60万元，</w:t>
      </w:r>
      <w:r>
        <w:rPr>
          <w:rFonts w:hint="eastAsia" w:ascii="仿宋" w:hAnsi="仿宋" w:eastAsia="仿宋"/>
          <w:sz w:val="32"/>
          <w:szCs w:val="32"/>
        </w:rPr>
        <w:t>本级财政</w:t>
      </w:r>
      <w:r>
        <w:rPr>
          <w:rFonts w:hint="eastAsia" w:ascii="仿宋" w:hAnsi="仿宋" w:eastAsia="仿宋"/>
          <w:sz w:val="32"/>
          <w:szCs w:val="32"/>
          <w:lang w:eastAsia="zh-CN"/>
        </w:rPr>
        <w:t>拨</w:t>
      </w:r>
      <w:r>
        <w:rPr>
          <w:rFonts w:hint="eastAsia" w:ascii="仿宋" w:hAnsi="仿宋" w:eastAsia="仿宋"/>
          <w:sz w:val="32"/>
          <w:szCs w:val="32"/>
        </w:rPr>
        <w:t>入</w:t>
      </w:r>
      <w:r>
        <w:rPr>
          <w:rFonts w:hint="eastAsia" w:ascii="仿宋" w:hAnsi="仿宋" w:eastAsia="仿宋"/>
          <w:sz w:val="32"/>
          <w:szCs w:val="32"/>
          <w:lang w:val="en-US" w:eastAsia="zh-CN"/>
        </w:rPr>
        <w:t>17.38</w:t>
      </w:r>
      <w:r>
        <w:rPr>
          <w:rFonts w:hint="eastAsia" w:ascii="仿宋" w:hAnsi="仿宋" w:eastAsia="仿宋"/>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sz w:val="32"/>
          <w:szCs w:val="32"/>
          <w:lang w:eastAsia="zh-CN"/>
        </w:rPr>
      </w:pPr>
      <w:r>
        <w:rPr>
          <w:rFonts w:hint="eastAsia" w:ascii="仿宋" w:hAnsi="仿宋" w:eastAsia="仿宋"/>
          <w:sz w:val="32"/>
          <w:szCs w:val="32"/>
          <w:lang w:eastAsia="zh-CN"/>
        </w:rPr>
        <w:t>拨付</w:t>
      </w:r>
      <w:r>
        <w:rPr>
          <w:rFonts w:hint="eastAsia" w:ascii="仿宋" w:hAnsi="仿宋" w:eastAsia="仿宋"/>
          <w:sz w:val="32"/>
          <w:szCs w:val="32"/>
          <w:lang w:val="en-US" w:eastAsia="zh-CN"/>
        </w:rPr>
        <w:t>12个乡镇纪委及访惠聚工作队30万元工作经费，其余资金用于审查调查工作中的日常支出</w:t>
      </w:r>
      <w:r>
        <w:rPr>
          <w:rFonts w:hint="eastAsia" w:ascii="仿宋" w:hAnsi="仿宋" w:eastAsia="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 w:eastAsia="仿宋_GB2312"/>
          <w:bCs/>
          <w:spacing w:val="-4"/>
          <w:sz w:val="32"/>
          <w:szCs w:val="32"/>
        </w:rPr>
      </w:pPr>
      <w:r>
        <w:rPr>
          <w:rFonts w:hint="eastAsia" w:ascii="仿宋" w:hAnsi="仿宋" w:eastAsia="仿宋"/>
          <w:sz w:val="32"/>
          <w:szCs w:val="32"/>
          <w:lang w:eastAsia="zh-CN"/>
        </w:rPr>
        <w:t>我委对拨付给乡镇纪委及访惠聚工作队的工作经费实行跟踪管理，不定期的检查项目资金支出是否合理，严格按照资金使用要求合理支出，超过</w:t>
      </w:r>
      <w:r>
        <w:rPr>
          <w:rFonts w:hint="eastAsia" w:ascii="仿宋" w:hAnsi="仿宋" w:eastAsia="仿宋"/>
          <w:sz w:val="32"/>
          <w:szCs w:val="32"/>
          <w:lang w:val="en-US" w:eastAsia="zh-CN"/>
        </w:rPr>
        <w:t>5000元的大额支出报经纪委常委会审核通过后才能支出，</w:t>
      </w:r>
      <w:r>
        <w:rPr>
          <w:rFonts w:hint="eastAsia" w:ascii="仿宋" w:hAnsi="仿宋" w:eastAsia="仿宋"/>
          <w:sz w:val="32"/>
          <w:szCs w:val="32"/>
          <w:lang w:eastAsia="zh-CN"/>
        </w:rPr>
        <w:t>确保财政资金的最佳使用效益。</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拨付给乡镇纪委及访惠聚工作队的工作经费已到位，审查调查工作中所需费用正常开支。</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Style w:val="18"/>
          <w:rFonts w:hint="eastAsia" w:asciiTheme="minorEastAsia" w:hAnsiTheme="minorEastAsia" w:eastAsiaTheme="minorEastAsia" w:cstheme="minorEastAsia"/>
          <w:spacing w:val="-4"/>
          <w:sz w:val="32"/>
          <w:szCs w:val="32"/>
        </w:rPr>
      </w:pPr>
      <w:r>
        <w:rPr>
          <w:rStyle w:val="18"/>
          <w:rFonts w:hint="eastAsia" w:ascii="楷体" w:hAnsi="楷体" w:eastAsia="楷体"/>
          <w:spacing w:val="-4"/>
          <w:sz w:val="32"/>
          <w:szCs w:val="32"/>
        </w:rPr>
        <w:t>（二）</w:t>
      </w:r>
      <w:r>
        <w:rPr>
          <w:rStyle w:val="18"/>
          <w:rFonts w:hint="eastAsia" w:asciiTheme="minorEastAsia" w:hAnsiTheme="minorEastAsia" w:eastAsiaTheme="minorEastAsia" w:cstheme="minorEastAsia"/>
          <w:spacing w:val="-4"/>
          <w:sz w:val="32"/>
          <w:szCs w:val="32"/>
        </w:rPr>
        <w:t>项目管理情况分析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审查调查经费的管理和使用遵守下列原则：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1.遵守法规。审查调查经费的使用必须遵循国家有关法律、法规和财务规章制度，接受财政、审计部门的监督、检查。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2.管理。审查调查经费由纪委财务部门实行统一管理，根据有关机构工作任务和实际情况据实核销。不得以拨作支，平均分配。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3.专用。审查调查经费要严格按本办法规定的开支范围使用，不得以任何形式挤占或挪用。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开支范围与规定：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审查调查经费的开支范围主要包括办案人员办案期间的差旅费、通讯费、交通费、办案设备租用费、调查取证费、房租费、会议费、工作人员及审查对象伙食费、工作误餐费、夜餐费、补助费等。</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Style w:val="18"/>
          <w:rFonts w:hint="eastAsia" w:ascii="黑体" w:hAnsi="黑体" w:eastAsia="黑体" w:cs="黑体"/>
          <w:spacing w:val="-4"/>
          <w:sz w:val="32"/>
          <w:szCs w:val="32"/>
        </w:rPr>
      </w:pPr>
      <w:r>
        <w:rPr>
          <w:rStyle w:val="18"/>
          <w:rFonts w:hint="eastAsia" w:ascii="黑体" w:hAnsi="黑体" w:eastAsia="黑体" w:cs="黑体"/>
          <w:spacing w:val="-4"/>
          <w:sz w:val="32"/>
          <w:szCs w:val="32"/>
        </w:rPr>
        <w:t>四、项目绩效情况</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2018，是我县奋力推进全面从严治党向纵深发展不平凡的一年。一年来，在上级纪委和县委的正确领导下，全县纪检监察系统不断夯实管党治党政治责任，全面深化纪检监察体制改革，持之以恒正风肃纪，坚定不移惩治腐败，党风廉政建设和</w:t>
      </w: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反腐败工作取得新进展、新突破。</w:t>
      </w:r>
    </w:p>
    <w:p>
      <w:pPr>
        <w:keepNext w:val="0"/>
        <w:keepLines w:val="0"/>
        <w:pageBreakBefore w:val="0"/>
        <w:widowControl w:val="0"/>
        <w:kinsoku/>
        <w:wordWrap/>
        <w:overflowPunct/>
        <w:topLinePunct w:val="0"/>
        <w:autoSpaceDE/>
        <w:autoSpaceDN/>
        <w:bidi w:val="0"/>
        <w:adjustRightInd/>
        <w:snapToGrid/>
        <w:spacing w:line="600" w:lineRule="exact"/>
        <w:ind w:firstLine="313" w:firstLineChars="100"/>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Fonts w:ascii="仿宋" w:hAnsi="仿宋" w:eastAsia="仿宋"/>
          <w:spacing w:val="-4"/>
          <w:sz w:val="32"/>
          <w:szCs w:val="32"/>
        </w:rPr>
      </w:pPr>
      <w:r>
        <w:rPr>
          <w:rFonts w:ascii="仿宋" w:hAnsi="仿宋" w:eastAsia="仿宋"/>
          <w:spacing w:val="-4"/>
          <w:sz w:val="32"/>
          <w:szCs w:val="32"/>
        </w:rPr>
        <w:t xml:space="preserve">       </w:t>
      </w:r>
      <w:r>
        <w:rPr>
          <w:rFonts w:hint="eastAsia" w:ascii="仿宋" w:hAnsi="仿宋" w:eastAsia="仿宋"/>
          <w:spacing w:val="-4"/>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8"/>
          <w:rFonts w:ascii="黑体" w:hAnsi="黑体" w:eastAsia="黑体"/>
          <w:b w:val="0"/>
          <w:spacing w:val="-4"/>
          <w:sz w:val="32"/>
          <w:szCs w:val="32"/>
        </w:rPr>
      </w:pPr>
      <w:r>
        <w:rPr>
          <w:rStyle w:val="18"/>
          <w:rFonts w:ascii="黑体" w:hAnsi="黑体" w:eastAsia="黑体"/>
          <w:b w:val="0"/>
          <w:spacing w:val="-4"/>
          <w:sz w:val="32"/>
          <w:szCs w:val="32"/>
        </w:rPr>
        <w:t xml:space="preserve">       </w:t>
      </w:r>
      <w:r>
        <w:rPr>
          <w:rFonts w:hint="eastAsia" w:ascii="仿宋" w:hAnsi="仿宋" w:eastAsia="仿宋"/>
          <w:spacing w:val="-4"/>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在今后的工作中，我们将在以下几个方面下功夫。一是在深度融合上下功夫，努力构建高效运行机制，以贯彻执行“五加一”工作为重点，强化监督执纪审查的流程管理，强化自我监督，真正实现“1+1&gt;2”的工作成效。二是在创新监督上下功夫，进一步压实两个责任，以“责任制清单”为抓手，督促各乡镇、各单位“两个责任”的落实，对发现的问题及时反馈，跟踪整改，确保“两个责任”落地生根。三是要在提升成效上下功夫，进一步抓好落实总目标、转变工作作风、群众工作督导、扶贫领域执纪监督等方面，在坚持常态化督查的基础上，加大宣传教育力度，做到警钟长鸣。四是在规范程序上下功夫，进一步提升线索处置效力，从执纪监督和监察职能尚未深度融合的实际出发，突出执纪监督检查工作的关键环节和关键岗位，对照工作制度和岗位职责以及上级最新的规定要求，确保职责履行到位。五是在干部培训上下功夫，按照自治区“能力建设年”要求，进一步提升干部能力素质，提升队伍执纪监督监察能力素质，着力推动纪检监察机关自身建设的制度化和规范化。</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Fonts w:hint="eastAsia" w:ascii="楷体" w:hAnsi="楷体" w:eastAsia="楷体"/>
          <w:b/>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27" w:firstLineChars="200"/>
        <w:textAlignment w:val="auto"/>
        <w:rPr>
          <w:rFonts w:hint="eastAsia"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sz w:val="32"/>
          <w:szCs w:val="32"/>
          <w:lang w:eastAsia="zh-CN"/>
        </w:rPr>
      </w:pPr>
      <w:r>
        <w:rPr>
          <w:rFonts w:hint="eastAsia"/>
        </w:rPr>
        <w:t>　　</w:t>
      </w:r>
      <w:r>
        <w:rPr>
          <w:rFonts w:hint="eastAsia" w:ascii="仿宋" w:hAnsi="仿宋" w:eastAsia="仿宋"/>
          <w:sz w:val="32"/>
          <w:szCs w:val="32"/>
          <w:lang w:eastAsia="zh-CN"/>
        </w:rPr>
        <w:t>在看到成绩的同时，也必须清醒认识到，反腐败斗争形势依然严峻复杂，工作中还存在一些不容忽视的问题，主要是：一些基层党组织执行党章党规党纪不严格、不规范，贯彻党的路线方针政策不坚决、不到位；部分党组织落实“两个责任”缺乏有效措施，不敢动真碰硬，压力传导层层递减；“四风”问题隐形变异，花样翻新，反弹压力大；不收敛、不收手，顶风违纪问题依然存在，损害群众利益的“蝇贪”时有发生；部分党员干部思想懈怠，作风不实，慢作为、不作为现象比较突出；少数纪检监察干部业务不精、作风不实，特别是监察委员会成立后，执纪、执法能力水平亟待提高。这些问题，我们要高度重视，认真加以解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楷体" w:hAnsi="楷体" w:eastAsia="楷体" w:cs="楷体"/>
          <w:sz w:val="32"/>
          <w:szCs w:val="32"/>
        </w:rPr>
      </w:pPr>
      <w:r>
        <w:rPr>
          <w:rFonts w:hint="eastAsia" w:ascii="楷体" w:hAnsi="楷体" w:eastAsia="楷体" w:cs="楷体"/>
          <w:sz w:val="32"/>
          <w:szCs w:val="32"/>
        </w:rPr>
        <w:t>（三）其他</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left"/>
        <w:textAlignment w:val="auto"/>
        <w:rPr>
          <w:rFonts w:hint="eastAsia" w:ascii="仿宋" w:hAnsi="仿宋" w:eastAsia="仿宋"/>
          <w:sz w:val="32"/>
          <w:szCs w:val="32"/>
        </w:rPr>
      </w:pPr>
      <w:r>
        <w:rPr>
          <w:rFonts w:hint="eastAsia" w:ascii="仿宋" w:hAnsi="仿宋" w:eastAsia="仿宋"/>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七、附表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巴州</w:t>
      </w:r>
      <w:r>
        <w:rPr>
          <w:rFonts w:hint="eastAsia" w:ascii="仿宋" w:hAnsi="仿宋" w:eastAsia="仿宋"/>
          <w:sz w:val="32"/>
          <w:szCs w:val="32"/>
        </w:rPr>
        <w:t>地区财政项目支出绩效自评表》</w:t>
      </w:r>
    </w:p>
    <w:sectPr>
      <w:footerReference r:id="rId3" w:type="default"/>
      <w:pgSz w:w="11906" w:h="16838"/>
      <w:pgMar w:top="1440" w:right="1558"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8</w:t>
    </w:r>
    <w:r>
      <w:rPr>
        <w:lang w:val="zh-CN"/>
      </w:rP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072963"/>
    <w:rsid w:val="000A3DE1"/>
    <w:rsid w:val="000B0190"/>
    <w:rsid w:val="000C7AC6"/>
    <w:rsid w:val="001071D5"/>
    <w:rsid w:val="001171B4"/>
    <w:rsid w:val="00121AE4"/>
    <w:rsid w:val="00146AAD"/>
    <w:rsid w:val="001B3A40"/>
    <w:rsid w:val="001D0797"/>
    <w:rsid w:val="002574E5"/>
    <w:rsid w:val="00272BE0"/>
    <w:rsid w:val="002E590A"/>
    <w:rsid w:val="00305E69"/>
    <w:rsid w:val="00385F8A"/>
    <w:rsid w:val="003908B7"/>
    <w:rsid w:val="003A4D0B"/>
    <w:rsid w:val="00407773"/>
    <w:rsid w:val="004366A8"/>
    <w:rsid w:val="004B126A"/>
    <w:rsid w:val="00502BA7"/>
    <w:rsid w:val="005162F1"/>
    <w:rsid w:val="00535153"/>
    <w:rsid w:val="00541A52"/>
    <w:rsid w:val="00554F82"/>
    <w:rsid w:val="005553D9"/>
    <w:rsid w:val="00557407"/>
    <w:rsid w:val="0056390D"/>
    <w:rsid w:val="005719B0"/>
    <w:rsid w:val="005B4F96"/>
    <w:rsid w:val="005D10D6"/>
    <w:rsid w:val="005E6513"/>
    <w:rsid w:val="00631836"/>
    <w:rsid w:val="0069633C"/>
    <w:rsid w:val="006E6BB4"/>
    <w:rsid w:val="00743B81"/>
    <w:rsid w:val="00855E3A"/>
    <w:rsid w:val="008D0371"/>
    <w:rsid w:val="00922CB9"/>
    <w:rsid w:val="0092573B"/>
    <w:rsid w:val="009564B6"/>
    <w:rsid w:val="009E5CD9"/>
    <w:rsid w:val="00A26421"/>
    <w:rsid w:val="00A4293B"/>
    <w:rsid w:val="00A67D50"/>
    <w:rsid w:val="00A84FDA"/>
    <w:rsid w:val="00A8691A"/>
    <w:rsid w:val="00AC1946"/>
    <w:rsid w:val="00B40063"/>
    <w:rsid w:val="00B41F61"/>
    <w:rsid w:val="00BA46E6"/>
    <w:rsid w:val="00BD29A5"/>
    <w:rsid w:val="00C25FC7"/>
    <w:rsid w:val="00C25FFF"/>
    <w:rsid w:val="00C56C72"/>
    <w:rsid w:val="00CA6457"/>
    <w:rsid w:val="00CE2D4B"/>
    <w:rsid w:val="00D01A5C"/>
    <w:rsid w:val="00D16AF4"/>
    <w:rsid w:val="00D17F2E"/>
    <w:rsid w:val="00D30354"/>
    <w:rsid w:val="00D926BD"/>
    <w:rsid w:val="00DF42A0"/>
    <w:rsid w:val="00E00D00"/>
    <w:rsid w:val="00E74258"/>
    <w:rsid w:val="00E769FE"/>
    <w:rsid w:val="00EA2CBE"/>
    <w:rsid w:val="00ED154B"/>
    <w:rsid w:val="00EF0C6B"/>
    <w:rsid w:val="00EF7642"/>
    <w:rsid w:val="00F12613"/>
    <w:rsid w:val="00F32FEE"/>
    <w:rsid w:val="00FB10BB"/>
    <w:rsid w:val="00FC3092"/>
    <w:rsid w:val="00FD4F7A"/>
    <w:rsid w:val="030175CF"/>
    <w:rsid w:val="06C21E2C"/>
    <w:rsid w:val="073573A7"/>
    <w:rsid w:val="073D2E3E"/>
    <w:rsid w:val="0820137D"/>
    <w:rsid w:val="08574029"/>
    <w:rsid w:val="0DBD327E"/>
    <w:rsid w:val="0DC04D8E"/>
    <w:rsid w:val="10955CDA"/>
    <w:rsid w:val="14FB4CB7"/>
    <w:rsid w:val="1D196619"/>
    <w:rsid w:val="21F00D5F"/>
    <w:rsid w:val="221B5C5A"/>
    <w:rsid w:val="24F2354B"/>
    <w:rsid w:val="2DD70330"/>
    <w:rsid w:val="2DF80523"/>
    <w:rsid w:val="2FBC538A"/>
    <w:rsid w:val="313D5342"/>
    <w:rsid w:val="32CB527F"/>
    <w:rsid w:val="37FC34C7"/>
    <w:rsid w:val="3A70023F"/>
    <w:rsid w:val="41B03124"/>
    <w:rsid w:val="4246192D"/>
    <w:rsid w:val="435B7591"/>
    <w:rsid w:val="45D30B8A"/>
    <w:rsid w:val="467A5131"/>
    <w:rsid w:val="472238F6"/>
    <w:rsid w:val="49151030"/>
    <w:rsid w:val="49295EE9"/>
    <w:rsid w:val="49A81472"/>
    <w:rsid w:val="4E75747F"/>
    <w:rsid w:val="54B8738B"/>
    <w:rsid w:val="553E2C52"/>
    <w:rsid w:val="57B718BC"/>
    <w:rsid w:val="5C746639"/>
    <w:rsid w:val="5EE14349"/>
    <w:rsid w:val="5EF336A5"/>
    <w:rsid w:val="60045519"/>
    <w:rsid w:val="61DD20C0"/>
    <w:rsid w:val="62502DE6"/>
    <w:rsid w:val="68C571EC"/>
    <w:rsid w:val="6A8A7C64"/>
    <w:rsid w:val="7ABC26D9"/>
    <w:rsid w:val="7F194AB8"/>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29"/>
    <w:semiHidden/>
    <w:qFormat/>
    <w:uiPriority w:val="99"/>
    <w:rPr>
      <w:sz w:val="18"/>
      <w:szCs w:val="18"/>
    </w:rPr>
  </w:style>
  <w:style w:type="paragraph" w:styleId="12">
    <w:name w:val="footer"/>
    <w:basedOn w:val="1"/>
    <w:link w:val="30"/>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31"/>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99"/>
    <w:pPr>
      <w:widowControl/>
      <w:spacing w:after="60"/>
      <w:jc w:val="center"/>
      <w:outlineLvl w:val="1"/>
    </w:pPr>
    <w:rPr>
      <w:rFonts w:ascii="Cambria" w:hAnsi="Cambria"/>
      <w:kern w:val="0"/>
      <w:sz w:val="24"/>
    </w:rPr>
  </w:style>
  <w:style w:type="paragraph" w:styleId="15">
    <w:name w:val="Title"/>
    <w:basedOn w:val="1"/>
    <w:next w:val="1"/>
    <w:link w:val="33"/>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Emphasis"/>
    <w:basedOn w:val="17"/>
    <w:qFormat/>
    <w:uiPriority w:val="99"/>
    <w:rPr>
      <w:rFonts w:ascii="Calibri" w:hAnsi="Calibri" w:cs="Times New Roman"/>
      <w:b/>
      <w:i/>
      <w:iCs/>
    </w:rPr>
  </w:style>
  <w:style w:type="character" w:customStyle="1" w:styleId="20">
    <w:name w:val="标题 1 Char"/>
    <w:basedOn w:val="17"/>
    <w:link w:val="2"/>
    <w:qFormat/>
    <w:locked/>
    <w:uiPriority w:val="99"/>
    <w:rPr>
      <w:rFonts w:ascii="Cambria" w:hAnsi="Cambria" w:eastAsia="宋体" w:cs="Times New Roman"/>
      <w:b/>
      <w:bCs/>
      <w:kern w:val="32"/>
      <w:sz w:val="32"/>
      <w:szCs w:val="32"/>
    </w:rPr>
  </w:style>
  <w:style w:type="character" w:customStyle="1" w:styleId="21">
    <w:name w:val="标题 2 Char"/>
    <w:basedOn w:val="17"/>
    <w:link w:val="3"/>
    <w:semiHidden/>
    <w:qFormat/>
    <w:locked/>
    <w:uiPriority w:val="99"/>
    <w:rPr>
      <w:rFonts w:ascii="Cambria" w:hAnsi="Cambria" w:eastAsia="宋体" w:cs="Times New Roman"/>
      <w:b/>
      <w:bCs/>
      <w:i/>
      <w:iCs/>
      <w:sz w:val="28"/>
      <w:szCs w:val="28"/>
    </w:rPr>
  </w:style>
  <w:style w:type="character" w:customStyle="1" w:styleId="22">
    <w:name w:val="标题 3 Char"/>
    <w:basedOn w:val="17"/>
    <w:link w:val="4"/>
    <w:semiHidden/>
    <w:qFormat/>
    <w:locked/>
    <w:uiPriority w:val="99"/>
    <w:rPr>
      <w:rFonts w:ascii="Cambria" w:hAnsi="Cambria" w:eastAsia="宋体" w:cs="Times New Roman"/>
      <w:b/>
      <w:bCs/>
      <w:sz w:val="26"/>
      <w:szCs w:val="26"/>
    </w:rPr>
  </w:style>
  <w:style w:type="character" w:customStyle="1" w:styleId="23">
    <w:name w:val="标题 4 Char"/>
    <w:basedOn w:val="17"/>
    <w:link w:val="5"/>
    <w:semiHidden/>
    <w:qFormat/>
    <w:locked/>
    <w:uiPriority w:val="99"/>
    <w:rPr>
      <w:rFonts w:cs="Times New Roman"/>
      <w:b/>
      <w:bCs/>
      <w:sz w:val="28"/>
      <w:szCs w:val="28"/>
    </w:rPr>
  </w:style>
  <w:style w:type="character" w:customStyle="1" w:styleId="24">
    <w:name w:val="标题 5 Char"/>
    <w:basedOn w:val="17"/>
    <w:link w:val="6"/>
    <w:semiHidden/>
    <w:qFormat/>
    <w:locked/>
    <w:uiPriority w:val="99"/>
    <w:rPr>
      <w:rFonts w:cs="Times New Roman"/>
      <w:b/>
      <w:bCs/>
      <w:i/>
      <w:iCs/>
      <w:sz w:val="26"/>
      <w:szCs w:val="26"/>
    </w:rPr>
  </w:style>
  <w:style w:type="character" w:customStyle="1" w:styleId="25">
    <w:name w:val="标题 6 Char"/>
    <w:basedOn w:val="17"/>
    <w:link w:val="7"/>
    <w:semiHidden/>
    <w:qFormat/>
    <w:locked/>
    <w:uiPriority w:val="99"/>
    <w:rPr>
      <w:rFonts w:cs="Times New Roman"/>
      <w:b/>
      <w:bCs/>
    </w:rPr>
  </w:style>
  <w:style w:type="character" w:customStyle="1" w:styleId="26">
    <w:name w:val="标题 7 Char"/>
    <w:basedOn w:val="17"/>
    <w:link w:val="8"/>
    <w:semiHidden/>
    <w:qFormat/>
    <w:locked/>
    <w:uiPriority w:val="99"/>
    <w:rPr>
      <w:rFonts w:cs="Times New Roman"/>
      <w:sz w:val="24"/>
      <w:szCs w:val="24"/>
    </w:rPr>
  </w:style>
  <w:style w:type="character" w:customStyle="1" w:styleId="27">
    <w:name w:val="标题 8 Char"/>
    <w:basedOn w:val="17"/>
    <w:link w:val="9"/>
    <w:semiHidden/>
    <w:qFormat/>
    <w:locked/>
    <w:uiPriority w:val="99"/>
    <w:rPr>
      <w:rFonts w:cs="Times New Roman"/>
      <w:i/>
      <w:iCs/>
      <w:sz w:val="24"/>
      <w:szCs w:val="24"/>
    </w:rPr>
  </w:style>
  <w:style w:type="character" w:customStyle="1" w:styleId="28">
    <w:name w:val="标题 9 Char"/>
    <w:basedOn w:val="17"/>
    <w:link w:val="10"/>
    <w:semiHidden/>
    <w:qFormat/>
    <w:locked/>
    <w:uiPriority w:val="99"/>
    <w:rPr>
      <w:rFonts w:ascii="Cambria" w:hAnsi="Cambria" w:eastAsia="宋体" w:cs="Times New Roman"/>
    </w:rPr>
  </w:style>
  <w:style w:type="character" w:customStyle="1" w:styleId="29">
    <w:name w:val="批注框文本 Char"/>
    <w:basedOn w:val="17"/>
    <w:link w:val="11"/>
    <w:semiHidden/>
    <w:qFormat/>
    <w:locked/>
    <w:uiPriority w:val="99"/>
    <w:rPr>
      <w:rFonts w:ascii="Times New Roman" w:hAnsi="Times New Roman" w:eastAsia="宋体" w:cs="Times New Roman"/>
      <w:kern w:val="2"/>
      <w:sz w:val="18"/>
      <w:szCs w:val="18"/>
    </w:rPr>
  </w:style>
  <w:style w:type="character" w:customStyle="1" w:styleId="30">
    <w:name w:val="页脚 Char"/>
    <w:basedOn w:val="17"/>
    <w:link w:val="12"/>
    <w:qFormat/>
    <w:locked/>
    <w:uiPriority w:val="99"/>
    <w:rPr>
      <w:rFonts w:ascii="Calibri" w:hAnsi="Calibri" w:eastAsia="宋体" w:cs="Times New Roman"/>
      <w:kern w:val="2"/>
      <w:sz w:val="18"/>
      <w:szCs w:val="18"/>
    </w:rPr>
  </w:style>
  <w:style w:type="character" w:customStyle="1" w:styleId="31">
    <w:name w:val="页眉 Char"/>
    <w:basedOn w:val="17"/>
    <w:link w:val="13"/>
    <w:qFormat/>
    <w:locked/>
    <w:uiPriority w:val="99"/>
    <w:rPr>
      <w:rFonts w:ascii="Calibri" w:hAnsi="Calibri" w:eastAsia="宋体" w:cs="Times New Roman"/>
      <w:kern w:val="2"/>
      <w:sz w:val="18"/>
      <w:szCs w:val="18"/>
    </w:rPr>
  </w:style>
  <w:style w:type="character" w:customStyle="1" w:styleId="32">
    <w:name w:val="副标题 Char"/>
    <w:basedOn w:val="17"/>
    <w:link w:val="14"/>
    <w:qFormat/>
    <w:locked/>
    <w:uiPriority w:val="99"/>
    <w:rPr>
      <w:rFonts w:ascii="Cambria" w:hAnsi="Cambria" w:eastAsia="宋体" w:cs="Times New Roman"/>
      <w:sz w:val="24"/>
      <w:szCs w:val="24"/>
    </w:rPr>
  </w:style>
  <w:style w:type="character" w:customStyle="1" w:styleId="33">
    <w:name w:val="标题 Char"/>
    <w:basedOn w:val="17"/>
    <w:link w:val="15"/>
    <w:qFormat/>
    <w:locked/>
    <w:uiPriority w:val="99"/>
    <w:rPr>
      <w:rFonts w:ascii="Cambria" w:hAnsi="Cambria" w:eastAsia="宋体" w:cs="Times New Roman"/>
      <w:b/>
      <w:bCs/>
      <w:kern w:val="28"/>
      <w:sz w:val="32"/>
      <w:szCs w:val="32"/>
    </w:rPr>
  </w:style>
  <w:style w:type="paragraph" w:styleId="34">
    <w:name w:val="No Spacing"/>
    <w:basedOn w:val="1"/>
    <w:qFormat/>
    <w:uiPriority w:val="99"/>
    <w:pPr>
      <w:widowControl/>
      <w:jc w:val="left"/>
    </w:pPr>
    <w:rPr>
      <w:rFonts w:ascii="Calibri" w:hAnsi="Calibri"/>
      <w:kern w:val="0"/>
      <w:sz w:val="24"/>
      <w:szCs w:val="32"/>
      <w:lang w:eastAsia="en-US"/>
    </w:rPr>
  </w:style>
  <w:style w:type="paragraph" w:styleId="35">
    <w:name w:val="List Paragraph"/>
    <w:basedOn w:val="1"/>
    <w:qFormat/>
    <w:uiPriority w:val="99"/>
    <w:pPr>
      <w:widowControl/>
      <w:ind w:left="720"/>
      <w:contextualSpacing/>
      <w:jc w:val="left"/>
    </w:pPr>
    <w:rPr>
      <w:rFonts w:ascii="Calibri" w:hAnsi="Calibri"/>
      <w:kern w:val="0"/>
      <w:sz w:val="24"/>
      <w:lang w:eastAsia="en-US"/>
    </w:rPr>
  </w:style>
  <w:style w:type="paragraph" w:styleId="36">
    <w:name w:val="Quote"/>
    <w:basedOn w:val="1"/>
    <w:next w:val="1"/>
    <w:link w:val="37"/>
    <w:qFormat/>
    <w:uiPriority w:val="99"/>
    <w:pPr>
      <w:widowControl/>
      <w:jc w:val="left"/>
    </w:pPr>
    <w:rPr>
      <w:rFonts w:ascii="Calibri" w:hAnsi="Calibri"/>
      <w:i/>
      <w:kern w:val="0"/>
      <w:sz w:val="24"/>
    </w:rPr>
  </w:style>
  <w:style w:type="character" w:customStyle="1" w:styleId="37">
    <w:name w:val="引用 Char"/>
    <w:basedOn w:val="17"/>
    <w:link w:val="36"/>
    <w:qFormat/>
    <w:locked/>
    <w:uiPriority w:val="99"/>
    <w:rPr>
      <w:rFonts w:cs="Times New Roman"/>
      <w:i/>
      <w:sz w:val="24"/>
      <w:szCs w:val="24"/>
    </w:rPr>
  </w:style>
  <w:style w:type="paragraph" w:styleId="38">
    <w:name w:val="Intense Quote"/>
    <w:basedOn w:val="1"/>
    <w:next w:val="1"/>
    <w:link w:val="39"/>
    <w:qFormat/>
    <w:uiPriority w:val="99"/>
    <w:pPr>
      <w:widowControl/>
      <w:ind w:left="720" w:right="720"/>
      <w:jc w:val="left"/>
    </w:pPr>
    <w:rPr>
      <w:rFonts w:ascii="Calibri" w:hAnsi="Calibri"/>
      <w:b/>
      <w:i/>
      <w:kern w:val="0"/>
      <w:sz w:val="24"/>
      <w:szCs w:val="22"/>
    </w:rPr>
  </w:style>
  <w:style w:type="character" w:customStyle="1" w:styleId="39">
    <w:name w:val="明显引用 Char"/>
    <w:basedOn w:val="17"/>
    <w:link w:val="38"/>
    <w:qFormat/>
    <w:locked/>
    <w:uiPriority w:val="99"/>
    <w:rPr>
      <w:rFonts w:cs="Times New Roman"/>
      <w:b/>
      <w:i/>
      <w:sz w:val="24"/>
    </w:rPr>
  </w:style>
  <w:style w:type="character" w:customStyle="1" w:styleId="40">
    <w:name w:val="Subtle Emphasis1"/>
    <w:qFormat/>
    <w:uiPriority w:val="99"/>
    <w:rPr>
      <w:i/>
      <w:color w:val="5A5A5A"/>
    </w:rPr>
  </w:style>
  <w:style w:type="character" w:customStyle="1" w:styleId="41">
    <w:name w:val="Intense Emphasis1"/>
    <w:basedOn w:val="17"/>
    <w:qFormat/>
    <w:uiPriority w:val="99"/>
    <w:rPr>
      <w:rFonts w:cs="Times New Roman"/>
      <w:b/>
      <w:i/>
      <w:sz w:val="24"/>
      <w:szCs w:val="24"/>
      <w:u w:val="single"/>
    </w:rPr>
  </w:style>
  <w:style w:type="character" w:customStyle="1" w:styleId="42">
    <w:name w:val="Subtle Reference1"/>
    <w:basedOn w:val="17"/>
    <w:qFormat/>
    <w:uiPriority w:val="99"/>
    <w:rPr>
      <w:rFonts w:cs="Times New Roman"/>
      <w:sz w:val="24"/>
      <w:szCs w:val="24"/>
      <w:u w:val="single"/>
    </w:rPr>
  </w:style>
  <w:style w:type="character" w:customStyle="1" w:styleId="43">
    <w:name w:val="Intense Reference1"/>
    <w:basedOn w:val="17"/>
    <w:qFormat/>
    <w:uiPriority w:val="99"/>
    <w:rPr>
      <w:rFonts w:cs="Times New Roman"/>
      <w:b/>
      <w:sz w:val="24"/>
      <w:u w:val="single"/>
    </w:rPr>
  </w:style>
  <w:style w:type="character" w:customStyle="1" w:styleId="44">
    <w:name w:val="Book Title1"/>
    <w:basedOn w:val="17"/>
    <w:qFormat/>
    <w:uiPriority w:val="99"/>
    <w:rPr>
      <w:rFonts w:ascii="Cambria" w:hAnsi="Cambria" w:eastAsia="宋体" w:cs="Times New Roman"/>
      <w:b/>
      <w:i/>
      <w:sz w:val="24"/>
      <w:szCs w:val="24"/>
    </w:rPr>
  </w:style>
  <w:style w:type="paragraph" w:customStyle="1" w:styleId="45">
    <w:name w:val="TOC Heading1"/>
    <w:basedOn w:val="2"/>
    <w:next w:val="1"/>
    <w:semiHidden/>
    <w:qFormat/>
    <w:uiPriority w:val="99"/>
    <w:pPr>
      <w:outlineLvl w:val="9"/>
    </w:pPr>
    <w:rPr>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489</Words>
  <Characters>2789</Characters>
  <Lines>23</Lines>
  <Paragraphs>6</Paragraphs>
  <TotalTime>13</TotalTime>
  <ScaleCrop>false</ScaleCrop>
  <LinksUpToDate>false</LinksUpToDate>
  <CharactersWithSpaces>3272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2021-05-29T13:08:00Z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