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ind w:firstLine="880" w:firstLineChars="200"/>
        <w:rPr>
          <w:rFonts w:ascii="方正小标宋_GBK" w:hAnsi="宋体" w:eastAsia="方正小标宋_GBK"/>
          <w:sz w:val="44"/>
          <w:szCs w:val="44"/>
        </w:rPr>
      </w:pPr>
    </w:p>
    <w:p>
      <w:pPr>
        <w:spacing w:line="640" w:lineRule="exact"/>
        <w:rPr>
          <w:rFonts w:ascii="方正小标宋_GBK" w:hAnsi="宋体" w:eastAsia="方正小标宋_GBK"/>
          <w:sz w:val="44"/>
          <w:szCs w:val="44"/>
        </w:rPr>
      </w:pPr>
    </w:p>
    <w:p>
      <w:pPr>
        <w:spacing w:line="640" w:lineRule="exact"/>
        <w:ind w:left="0" w:leftChars="0" w:firstLine="0" w:firstLineChars="0"/>
        <w:jc w:val="center"/>
        <w:rPr>
          <w:rFonts w:ascii="方正小标宋_GBK" w:hAnsi="宋体" w:eastAsia="方正小标宋_GBK"/>
          <w:sz w:val="44"/>
          <w:szCs w:val="44"/>
        </w:rPr>
      </w:pPr>
      <w:r>
        <w:rPr>
          <w:rFonts w:hint="eastAsia" w:ascii="方正小标宋_GBK" w:hAnsi="宋体" w:eastAsia="方正小标宋_GBK"/>
          <w:sz w:val="44"/>
          <w:szCs w:val="44"/>
        </w:rPr>
        <w:t>2018年度</w:t>
      </w:r>
      <w:r>
        <w:rPr>
          <w:rFonts w:hint="eastAsia" w:ascii="方正小标宋_GBK" w:hAnsi="宋体" w:eastAsia="方正小标宋_GBK"/>
          <w:sz w:val="44"/>
          <w:szCs w:val="44"/>
          <w:lang w:val="en-US" w:eastAsia="zh-CN"/>
        </w:rPr>
        <w:t>新疆巴音郭楞蒙古自治州</w:t>
      </w:r>
      <w:r>
        <w:rPr>
          <w:rFonts w:hint="eastAsia" w:ascii="方正小标宋_GBK" w:hAnsi="宋体" w:eastAsia="方正小标宋_GBK"/>
          <w:sz w:val="44"/>
          <w:szCs w:val="44"/>
        </w:rPr>
        <w:t>和静县畜牧局部门决算公开说明</w:t>
      </w: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rPr>
          <w:rFonts w:ascii="仿宋_GB2312" w:hAnsi="宋体" w:eastAsia="仿宋_GB2312"/>
          <w:sz w:val="32"/>
          <w:szCs w:val="32"/>
        </w:rPr>
      </w:pPr>
    </w:p>
    <w:p>
      <w:pPr>
        <w:spacing w:line="64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40" w:lineRule="exact"/>
        <w:ind w:firstLine="643" w:firstLineChars="200"/>
        <w:rPr>
          <w:rFonts w:ascii="仿宋_GB2312" w:hAnsi="宋体" w:eastAsia="仿宋_GB2312"/>
          <w:b/>
          <w:kern w:val="0"/>
          <w:sz w:val="32"/>
          <w:szCs w:val="32"/>
        </w:rPr>
      </w:pPr>
    </w:p>
    <w:p>
      <w:pPr>
        <w:spacing w:line="6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一、</w:t>
      </w:r>
      <w:r>
        <w:rPr>
          <w:rFonts w:hint="eastAsia" w:ascii="仿宋_GB2312" w:hAnsi="宋体" w:eastAsia="仿宋_GB2312"/>
          <w:sz w:val="32"/>
          <w:szCs w:val="32"/>
        </w:rPr>
        <w:t>《收入支出决算总表》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二、</w:t>
      </w:r>
      <w:r>
        <w:rPr>
          <w:rFonts w:hint="eastAsia" w:ascii="仿宋_GB2312" w:hAnsi="宋体" w:eastAsia="仿宋_GB2312"/>
          <w:sz w:val="32"/>
          <w:szCs w:val="32"/>
        </w:rPr>
        <w:t>《收入决算表》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三、</w:t>
      </w:r>
      <w:r>
        <w:rPr>
          <w:rFonts w:hint="eastAsia" w:ascii="仿宋_GB2312" w:hAnsi="宋体" w:eastAsia="仿宋_GB2312"/>
          <w:sz w:val="32"/>
          <w:szCs w:val="32"/>
        </w:rPr>
        <w:t>《支出决算表》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四、</w:t>
      </w:r>
      <w:r>
        <w:rPr>
          <w:rFonts w:hint="eastAsia" w:ascii="仿宋_GB2312" w:hAnsi="宋体" w:eastAsia="仿宋_GB2312"/>
          <w:sz w:val="32"/>
          <w:szCs w:val="32"/>
        </w:rPr>
        <w:t>《财政拨款收入支出决算总表》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五、</w:t>
      </w:r>
      <w:r>
        <w:rPr>
          <w:rFonts w:hint="eastAsia" w:ascii="仿宋_GB2312" w:hAnsi="宋体" w:eastAsia="仿宋_GB2312"/>
          <w:sz w:val="32"/>
          <w:szCs w:val="32"/>
        </w:rPr>
        <w:t>《一般公共预算财政拨款支出决算表》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六、</w:t>
      </w:r>
      <w:r>
        <w:rPr>
          <w:rFonts w:hint="eastAsia" w:ascii="仿宋_GB2312" w:hAnsi="宋体" w:eastAsia="仿宋_GB2312"/>
          <w:sz w:val="32"/>
          <w:szCs w:val="32"/>
        </w:rPr>
        <w:t>《一般公共预算财政拨款基本支出决算表》</w:t>
      </w:r>
    </w:p>
    <w:p>
      <w:pPr>
        <w:spacing w:line="60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lang w:eastAsia="zh-CN"/>
        </w:rPr>
        <w:t>七、</w:t>
      </w:r>
      <w:r>
        <w:rPr>
          <w:rFonts w:hint="eastAsia" w:ascii="仿宋_GB2312" w:hAnsi="宋体" w:eastAsia="仿宋_GB2312"/>
          <w:sz w:val="32"/>
          <w:szCs w:val="32"/>
        </w:rPr>
        <w:t>《一般公共预算财政拨款“三公”经费支出决算表》</w:t>
      </w:r>
    </w:p>
    <w:p>
      <w:pPr>
        <w:spacing w:line="60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eastAsia="zh-CN"/>
        </w:rPr>
        <w:t>八、</w:t>
      </w:r>
      <w:r>
        <w:rPr>
          <w:rFonts w:hint="eastAsia" w:ascii="仿宋_GB2312" w:hAnsi="宋体" w:eastAsia="仿宋_GB2312"/>
          <w:sz w:val="32"/>
          <w:szCs w:val="32"/>
        </w:rPr>
        <w:t>《政府性基金预算财政拨款收入支出决算表》</w:t>
      </w: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bookmarkStart w:id="0" w:name="_GoBack"/>
      <w:bookmarkEnd w:id="0"/>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rPr>
          <w:rFonts w:ascii="黑体" w:hAnsi="黑体" w:eastAsia="黑体"/>
          <w:kern w:val="0"/>
          <w:sz w:val="32"/>
          <w:szCs w:val="32"/>
        </w:rPr>
      </w:pPr>
    </w:p>
    <w:p>
      <w:pPr>
        <w:spacing w:line="64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6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宣传贯彻国家、自治区、和静县、县委和政府关于发展畜牧业的法律法规和方针政策，拟订县畜牧业经济发展的规划和意见并负责监督实施；拟订县畜牧业、草业及草原生态保护建设政策、规划、计划并组织实施；指导畜牧行业执法工作，依法承担畜牧业行政案件复议和诉讼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贯彻执行国家、自治区、和静县关于兽医和兽药的法律、法规、规章、政策。组织拟订并实施和静县兽医、兽药、兽医器械管理办法和行业发展规划、计划，负责制定全县动物疫病防治规划、计划、应急预案等并组织实施。</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3、指导和监督全县兽医行政管理工作。负责全县动物防疫、检疫工作，负责全县动物疫情测报、分析和评估等工作。负责兽医、兽药管理体系和队伍建设。承担全县兽医医政、药政管理工作。负责动物及动物产品卫生质量安全、兽药残留和兽医实验室生物安全等监督管理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4、承担提升全县畜产品质量安全水平的责任。监督畜产品和畜牧业投入品的质量安全监测以及畜产品检验检测体系建设工作。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5、组织实施全县畜禽遗传资源、饲料资源和草原资源普查、保护和开发利用工作。指导监督种畜禽遗传资源、牧草种子、兽药、饲料和饲料添加剂的许可工作。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6、指导协调全县畜禽育种改良工作，研究制定畜禽品种改良规划并组织实施；负责种畜禽（蛋）的管理及其引进工作。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7、指导全县畜牧业防灾减灾体系建设和抗灾保畜、防灾基地建设以及对口扶贫开发工作；承担对县国有牧场及局属企事业单位的业务指导、服务及协调工作。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8、指导县畜牧业结构和布局调整，组织标准化生产和规划健康养殖。指导县畜牧业社会化服务体系规划和建设。</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9、承担县草原监督管理工作。组织草原资源保护、合理开发利用和生态建设工作。指导草原鼠虫害等有害生物防治和防火工作。推进牧民定居和定居兴牧工作。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10、协调研究拟订县饲料工业的发展目标、意见和措施，负责对全县饲料行业的监督与指导工作。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11、指导全县畜牧科学实践和新技术推广，组织协调畜牧业重大科技项目的联合攻关。组织协调全县畜牧业对外经济技术合作项目、科技交流和技术引进等涉外工作；拟订畜牧业地方标准并组织监督实施。</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12、会同有关部门拟订和静县畜牧业人才队伍建设规划并组织实施。负责全县畜牧业信息市场调查及科技人员和农牧民的牧业科技知识及技术工作。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13、检查监督县畜牧业项目建设实施情况。负责全县畜牧业信息与市场调查工作。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14、负责畜牧业各类资金的财务管理，并对资金使用情况及经济效益进行监督检查。</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15、指导所属事业单位工作。</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16、承办和静县人民政府交办的其他事项。</w:t>
      </w:r>
    </w:p>
    <w:p>
      <w:pPr>
        <w:spacing w:line="6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widowControl/>
        <w:spacing w:beforeLines="50" w:afterLines="50" w:line="580" w:lineRule="exact"/>
        <w:ind w:firstLine="640" w:firstLineChars="200"/>
        <w:jc w:val="left"/>
        <w:rPr>
          <w:rFonts w:ascii="仿宋_GB2312" w:hAnsi="宋体" w:eastAsia="仿宋_GB2312" w:cs="宋体"/>
          <w:kern w:val="0"/>
          <w:sz w:val="32"/>
          <w:szCs w:val="32"/>
        </w:rPr>
      </w:pPr>
      <w:r>
        <w:rPr>
          <w:rFonts w:hint="eastAsia" w:ascii="仿宋_GB2312" w:eastAsia="仿宋_GB2312"/>
          <w:sz w:val="32"/>
          <w:szCs w:val="32"/>
        </w:rPr>
        <w:t>从决算单位构成看，新疆巴音郭楞蒙古自治州和静县畜牧兽医局（单位）部门决算包括：新疆巴音郭楞蒙古自治州和静县畜牧兽医局（单位）部门本级决算、所属单位决算等。</w:t>
      </w:r>
    </w:p>
    <w:p>
      <w:pPr>
        <w:spacing w:beforeLines="50" w:afterLines="50" w:line="580" w:lineRule="exact"/>
        <w:ind w:firstLine="616" w:firstLineChars="200"/>
        <w:rPr>
          <w:rFonts w:ascii="仿宋_GB2312" w:eastAsia="仿宋_GB2312"/>
          <w:spacing w:val="-6"/>
          <w:sz w:val="32"/>
          <w:szCs w:val="32"/>
        </w:rPr>
      </w:pPr>
      <w:r>
        <w:rPr>
          <w:rFonts w:hint="eastAsia" w:ascii="仿宋_GB2312" w:eastAsia="仿宋_GB2312"/>
          <w:spacing w:val="-6"/>
          <w:sz w:val="32"/>
          <w:szCs w:val="32"/>
        </w:rPr>
        <w:t>纳入</w:t>
      </w:r>
      <w:r>
        <w:rPr>
          <w:rFonts w:hint="eastAsia" w:ascii="仿宋_GB2312" w:eastAsia="仿宋_GB2312"/>
          <w:sz w:val="32"/>
          <w:szCs w:val="32"/>
        </w:rPr>
        <w:t>新疆巴音郭楞蒙古自治州和静县畜牧兽医局</w:t>
      </w:r>
      <w:r>
        <w:rPr>
          <w:rFonts w:hint="eastAsia" w:ascii="仿宋_GB2312" w:eastAsia="仿宋_GB2312"/>
          <w:spacing w:val="-6"/>
          <w:sz w:val="32"/>
          <w:szCs w:val="32"/>
        </w:rPr>
        <w:t>（单位）2018年部门决算编制范围的单位名单见下表：</w:t>
      </w:r>
    </w:p>
    <w:p>
      <w:pPr>
        <w:spacing w:line="640" w:lineRule="exact"/>
        <w:ind w:firstLine="616" w:firstLineChars="200"/>
        <w:jc w:val="center"/>
        <w:rPr>
          <w:rFonts w:ascii="仿宋_GB2312" w:eastAsia="仿宋_GB2312"/>
          <w:spacing w:val="-6"/>
          <w:sz w:val="32"/>
          <w:szCs w:val="32"/>
        </w:rPr>
      </w:pPr>
    </w:p>
    <w:tbl>
      <w:tblPr>
        <w:tblStyle w:val="5"/>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7229"/>
        <w:gridCol w:w="1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trPr>
        <w:tc>
          <w:tcPr>
            <w:tcW w:w="959" w:type="dxa"/>
            <w:vAlign w:val="center"/>
          </w:tcPr>
          <w:p>
            <w:pPr>
              <w:spacing w:line="640" w:lineRule="exact"/>
              <w:jc w:val="center"/>
              <w:rPr>
                <w:rFonts w:ascii="仿宋_GB2312" w:eastAsia="仿宋_GB2312"/>
                <w:sz w:val="32"/>
                <w:szCs w:val="32"/>
              </w:rPr>
            </w:pPr>
            <w:r>
              <w:rPr>
                <w:rFonts w:hint="eastAsia" w:ascii="仿宋_GB2312" w:eastAsia="仿宋_GB2312"/>
                <w:sz w:val="32"/>
                <w:szCs w:val="32"/>
              </w:rPr>
              <w:t>序号</w:t>
            </w:r>
          </w:p>
        </w:tc>
        <w:tc>
          <w:tcPr>
            <w:tcW w:w="7229" w:type="dxa"/>
            <w:vAlign w:val="center"/>
          </w:tcPr>
          <w:p>
            <w:pPr>
              <w:spacing w:line="640" w:lineRule="exact"/>
              <w:ind w:firstLine="2560" w:firstLineChars="800"/>
              <w:rPr>
                <w:rFonts w:ascii="仿宋_GB2312" w:eastAsia="仿宋_GB2312"/>
                <w:sz w:val="32"/>
                <w:szCs w:val="32"/>
              </w:rPr>
            </w:pPr>
            <w:r>
              <w:rPr>
                <w:rFonts w:hint="eastAsia" w:ascii="仿宋_GB2312" w:eastAsia="仿宋_GB2312"/>
                <w:sz w:val="32"/>
                <w:szCs w:val="32"/>
              </w:rPr>
              <w:t>单位名称</w:t>
            </w:r>
          </w:p>
        </w:tc>
        <w:tc>
          <w:tcPr>
            <w:tcW w:w="1332" w:type="dxa"/>
            <w:vAlign w:val="center"/>
          </w:tcPr>
          <w:p>
            <w:pPr>
              <w:spacing w:line="640" w:lineRule="exact"/>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trPr>
        <w:tc>
          <w:tcPr>
            <w:tcW w:w="959" w:type="dxa"/>
            <w:vAlign w:val="center"/>
          </w:tcPr>
          <w:p>
            <w:pPr>
              <w:spacing w:line="640" w:lineRule="exact"/>
              <w:ind w:firstLine="320" w:firstLineChars="100"/>
              <w:rPr>
                <w:rFonts w:ascii="仿宋_GB2312" w:eastAsia="仿宋_GB2312"/>
                <w:sz w:val="32"/>
                <w:szCs w:val="32"/>
              </w:rPr>
            </w:pPr>
            <w:r>
              <w:rPr>
                <w:rFonts w:hint="eastAsia" w:ascii="仿宋_GB2312" w:eastAsia="仿宋_GB2312"/>
                <w:sz w:val="32"/>
                <w:szCs w:val="32"/>
              </w:rPr>
              <w:t>1</w:t>
            </w:r>
          </w:p>
        </w:tc>
        <w:tc>
          <w:tcPr>
            <w:tcW w:w="7229" w:type="dxa"/>
            <w:vAlign w:val="center"/>
          </w:tcPr>
          <w:p>
            <w:pPr>
              <w:spacing w:line="640" w:lineRule="exact"/>
              <w:ind w:firstLine="320" w:firstLineChars="100"/>
              <w:rPr>
                <w:rFonts w:ascii="仿宋_GB2312" w:eastAsia="仿宋_GB2312"/>
                <w:sz w:val="32"/>
                <w:szCs w:val="32"/>
              </w:rPr>
            </w:pPr>
            <w:r>
              <w:rPr>
                <w:rFonts w:hint="eastAsia" w:ascii="仿宋_GB2312" w:eastAsia="仿宋_GB2312"/>
                <w:sz w:val="32"/>
                <w:szCs w:val="32"/>
              </w:rPr>
              <w:t>新疆巴音郭楞蒙古自治州和静县畜牧兽医局</w:t>
            </w:r>
          </w:p>
        </w:tc>
        <w:tc>
          <w:tcPr>
            <w:tcW w:w="1332" w:type="dxa"/>
            <w:vAlign w:val="center"/>
          </w:tcPr>
          <w:p>
            <w:pPr>
              <w:spacing w:line="640" w:lineRule="exact"/>
              <w:ind w:firstLine="640" w:firstLineChars="200"/>
              <w:rPr>
                <w:rFonts w:ascii="仿宋_GB2312" w:eastAsia="仿宋_GB2312"/>
                <w:sz w:val="32"/>
                <w:szCs w:val="32"/>
              </w:rPr>
            </w:pPr>
          </w:p>
        </w:tc>
      </w:tr>
    </w:tbl>
    <w:p>
      <w:pPr>
        <w:spacing w:line="640" w:lineRule="exact"/>
        <w:ind w:firstLine="640" w:firstLineChars="200"/>
        <w:jc w:val="center"/>
        <w:rPr>
          <w:rFonts w:ascii="黑体" w:hAnsi="黑体" w:eastAsia="黑体"/>
          <w:color w:val="FF0000"/>
          <w:sz w:val="32"/>
          <w:szCs w:val="32"/>
        </w:rPr>
      </w:pPr>
    </w:p>
    <w:p>
      <w:pPr>
        <w:spacing w:line="640" w:lineRule="exact"/>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40" w:lineRule="exact"/>
        <w:ind w:firstLine="640" w:firstLineChars="200"/>
        <w:rPr>
          <w:rFonts w:ascii="仿宋_GB2312" w:hAnsi="Calibri" w:eastAsia="仿宋_GB2312"/>
          <w:sz w:val="32"/>
          <w:szCs w:val="32"/>
          <w:lang w:val="en-GB"/>
        </w:rPr>
      </w:pPr>
      <w:r>
        <w:rPr>
          <w:rFonts w:hint="eastAsia" w:ascii="仿宋_GB2312" w:eastAsia="仿宋_GB2312"/>
          <w:sz w:val="32"/>
          <w:szCs w:val="32"/>
        </w:rPr>
        <w:t>2018年度收入16317.05万元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与上年相比，减少752.67万元，降低4.41%，增减变化主要原因是：项目拨款减少；支出15178.52万元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与上年相比，减少4001.48万元，降低20.86%，增减变化主要原因是：项目拨款减少；结余1528.26万元，与上年相比，增加1138.53万元，增长292.1</w:t>
      </w:r>
      <w:r>
        <w:rPr>
          <w:rFonts w:hint="eastAsia" w:ascii="仿宋_GB2312" w:eastAsia="仿宋_GB2312"/>
          <w:sz w:val="32"/>
          <w:szCs w:val="32"/>
          <w:lang w:val="en-US" w:eastAsia="zh-CN"/>
        </w:rPr>
        <w:t>3</w:t>
      </w:r>
      <w:r>
        <w:rPr>
          <w:rFonts w:hint="eastAsia" w:ascii="仿宋_GB2312" w:eastAsia="仿宋_GB2312"/>
          <w:sz w:val="32"/>
          <w:szCs w:val="32"/>
        </w:rPr>
        <w:t>%。增减变化主要原因是：本年单位项目未执完毕。</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本年收入合计16317.05万元，其中：财政拨款收入16317.05万元，占100%；上级补助收入0万元，占0%；事业收入0万元，占0%；经营收入0万元，占0%；附属单位缴款0万元，占0%；其他收入0万元，占0%。</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与年初预算数相比情况：本年收入年初预算数10888.70万元，决算数16317.05万元，预决算差异率49.85%，差异主要原因</w:t>
      </w:r>
      <w:r>
        <w:rPr>
          <w:rFonts w:hint="eastAsia" w:ascii="仿宋_GB2312" w:eastAsia="仿宋_GB2312" w:cs="仿宋_GB2312"/>
          <w:kern w:val="0"/>
          <w:sz w:val="32"/>
          <w:szCs w:val="32"/>
        </w:rPr>
        <w:t>上级专项资金其他保障性安居工程收入增加</w:t>
      </w:r>
      <w:r>
        <w:rPr>
          <w:rFonts w:hint="eastAsia" w:ascii="仿宋_GB2312" w:eastAsia="仿宋_GB2312"/>
          <w:sz w:val="32"/>
          <w:szCs w:val="32"/>
        </w:rPr>
        <w:t>。</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40" w:lineRule="exact"/>
        <w:ind w:firstLine="640" w:firstLineChars="200"/>
        <w:rPr>
          <w:rFonts w:ascii="仿宋_GB2312" w:eastAsia="仿宋_GB2312"/>
          <w:spacing w:val="-6"/>
          <w:sz w:val="32"/>
          <w:szCs w:val="32"/>
        </w:rPr>
      </w:pPr>
      <w:r>
        <w:rPr>
          <w:rFonts w:hint="eastAsia" w:ascii="仿宋_GB2312" w:eastAsia="仿宋_GB2312"/>
          <w:sz w:val="32"/>
          <w:szCs w:val="32"/>
        </w:rPr>
        <w:t>本年支出合计15178.52万元，其中：基本支出231.27万元，占1.52%；项目支出14947.25万元，占98.48%；上缴上级支出0万元，占0%；</w:t>
      </w:r>
      <w:r>
        <w:rPr>
          <w:rFonts w:hint="eastAsia" w:ascii="仿宋_GB2312" w:eastAsia="仿宋_GB2312"/>
          <w:spacing w:val="-6"/>
          <w:sz w:val="32"/>
          <w:szCs w:val="32"/>
        </w:rPr>
        <w:t>经营支出0万元，占0%；对附属单位补助支出0万元，占0%</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与年初预算数相比情况：本年支出年初预算数10888.70万元，决算数15178.52万元，预决算差异率39.40%，差异主要原因</w:t>
      </w:r>
      <w:r>
        <w:rPr>
          <w:rFonts w:hint="eastAsia" w:ascii="仿宋_GB2312" w:eastAsia="仿宋_GB2312" w:cs="仿宋_GB2312"/>
          <w:kern w:val="0"/>
          <w:sz w:val="32"/>
          <w:szCs w:val="32"/>
        </w:rPr>
        <w:t>上级专项资金其他保障性安居工程支出</w:t>
      </w:r>
      <w:r>
        <w:rPr>
          <w:rFonts w:hint="eastAsia" w:ascii="仿宋_GB2312" w:eastAsia="仿宋_GB2312"/>
          <w:sz w:val="32"/>
          <w:szCs w:val="32"/>
        </w:rPr>
        <w:t>增加。</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2018年度财政拨款收入16317.05万元，与上年相比，减少752.67万元，降低4.41%。增减变化的主要原因是：项目收入减少。财政拨款支出15178.52万元，与上年相比，减少4001.48万元，降低20.86%，增减变化的主要原因是：项目收入减少。其中：基本支出231.27万元，项目支出14947.25万元。财政拨款结转结余1528.26万元，与上年相比，增加1138.53万元，增长292.1</w:t>
      </w:r>
      <w:r>
        <w:rPr>
          <w:rFonts w:hint="eastAsia" w:ascii="仿宋_GB2312" w:eastAsia="仿宋_GB2312"/>
          <w:sz w:val="32"/>
          <w:szCs w:val="32"/>
          <w:lang w:val="en-US" w:eastAsia="zh-CN"/>
        </w:rPr>
        <w:t>3</w:t>
      </w:r>
      <w:r>
        <w:rPr>
          <w:rFonts w:hint="eastAsia" w:ascii="仿宋_GB2312" w:eastAsia="仿宋_GB2312"/>
          <w:sz w:val="32"/>
          <w:szCs w:val="32"/>
        </w:rPr>
        <w:t>%。增减变化的主要原因是：项目结余增加。</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与年初预算数相比情况：财政拨款收入年初预算数10888.70万元，决算数16317.05万元，预决算差异率49.85%，差异主要原因项目</w:t>
      </w:r>
      <w:r>
        <w:rPr>
          <w:rFonts w:hint="eastAsia" w:ascii="仿宋_GB2312" w:eastAsia="仿宋_GB2312" w:cs="仿宋_GB2312"/>
          <w:kern w:val="0"/>
          <w:sz w:val="32"/>
          <w:szCs w:val="32"/>
        </w:rPr>
        <w:t>上级专项资金其他保障性安居工程收入增加</w:t>
      </w:r>
      <w:r>
        <w:rPr>
          <w:rFonts w:hint="eastAsia" w:ascii="仿宋_GB2312" w:eastAsia="仿宋_GB2312"/>
          <w:sz w:val="32"/>
          <w:szCs w:val="32"/>
        </w:rPr>
        <w:t>。财政拨款支出年初预算数10888.70万元，决算数15178.52万元，预决算差异率39.40%，差异主要原因</w:t>
      </w:r>
      <w:r>
        <w:rPr>
          <w:rFonts w:hint="eastAsia" w:ascii="仿宋_GB2312" w:eastAsia="仿宋_GB2312" w:cs="仿宋_GB2312"/>
          <w:kern w:val="0"/>
          <w:sz w:val="32"/>
          <w:szCs w:val="32"/>
        </w:rPr>
        <w:t>上级专项资金其他保障性安居工程支出增加</w:t>
      </w:r>
      <w:r>
        <w:rPr>
          <w:rFonts w:hint="eastAsia" w:ascii="仿宋_GB2312" w:eastAsia="仿宋_GB2312"/>
          <w:sz w:val="32"/>
          <w:szCs w:val="32"/>
        </w:rPr>
        <w:t>。</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16317.05万元。与上年相比，减少752.67万元，降低4.41%。增减变化的主要原因是：项目收入减少。一般公共预算财政拨款支出15178.52万元。与上年相比，减少4001.48万元，降低20.86%。增减变化的主要原因是：项目支出减少。其中：</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按功能分类科目（按类级科目公开），201（类）一般公共服务支出30.47万元，207（类）文化体育与传媒支出2.27万元，208（类）社会保障和就业支出22.9</w:t>
      </w:r>
      <w:r>
        <w:rPr>
          <w:rFonts w:hint="eastAsia" w:ascii="仿宋_GB2312" w:eastAsia="仿宋_GB2312"/>
          <w:sz w:val="32"/>
          <w:szCs w:val="32"/>
          <w:lang w:val="en-US" w:eastAsia="zh-CN"/>
        </w:rPr>
        <w:t>1</w:t>
      </w:r>
      <w:r>
        <w:rPr>
          <w:rFonts w:hint="eastAsia" w:ascii="仿宋_GB2312" w:eastAsia="仿宋_GB2312"/>
          <w:sz w:val="32"/>
          <w:szCs w:val="32"/>
        </w:rPr>
        <w:t>万元，210（类）医疗卫生与计划生育支出16.15万元，212（类）城乡社区支出3210万元，213（类）农林水支出11337.7</w:t>
      </w:r>
      <w:r>
        <w:rPr>
          <w:rFonts w:hint="eastAsia" w:ascii="仿宋_GB2312" w:eastAsia="仿宋_GB2312"/>
          <w:sz w:val="32"/>
          <w:szCs w:val="32"/>
          <w:lang w:val="en-US" w:eastAsia="zh-CN"/>
        </w:rPr>
        <w:t>4</w:t>
      </w:r>
      <w:r>
        <w:rPr>
          <w:rFonts w:hint="eastAsia" w:ascii="仿宋_GB2312" w:eastAsia="仿宋_GB2312"/>
          <w:sz w:val="32"/>
          <w:szCs w:val="32"/>
        </w:rPr>
        <w:t>万元，221（类）住房保障支出558.98万元。</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按经济分类科目（按类级科目公开）：301（类）工资福利支出142.66万元，302（类）商品和服务支209.57万元，303（类）对个人和家庭的补助11066.96万元，310（类）其他资本性支出3759.34万元。</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与年初预算数相比情况：一般公共预算财政拨款收入年初预算数10888.70万元，决算数16317.05万元，预决算差异率49.85%，差异主要原因项目</w:t>
      </w:r>
      <w:r>
        <w:rPr>
          <w:rFonts w:hint="eastAsia" w:ascii="仿宋_GB2312" w:eastAsia="仿宋_GB2312" w:cs="仿宋_GB2312"/>
          <w:kern w:val="0"/>
          <w:sz w:val="32"/>
          <w:szCs w:val="32"/>
        </w:rPr>
        <w:t>上级专项资金其他保障性安居工程收入增加</w:t>
      </w:r>
      <w:r>
        <w:rPr>
          <w:rFonts w:hint="eastAsia" w:ascii="仿宋_GB2312" w:eastAsia="仿宋_GB2312"/>
          <w:sz w:val="32"/>
          <w:szCs w:val="32"/>
        </w:rPr>
        <w:t>。一般公共预算财政拨款支出年初预算数10888.70万元，决算数</w:t>
      </w:r>
      <w:r>
        <w:rPr>
          <w:rFonts w:hint="eastAsia" w:ascii="仿宋_GB2312" w:eastAsia="仿宋_GB2312"/>
          <w:sz w:val="32"/>
          <w:szCs w:val="32"/>
          <w:lang w:val="en-US" w:eastAsia="zh-CN"/>
        </w:rPr>
        <w:t>1</w:t>
      </w:r>
      <w:r>
        <w:rPr>
          <w:rFonts w:hint="eastAsia" w:ascii="仿宋_GB2312" w:eastAsia="仿宋_GB2312"/>
          <w:sz w:val="32"/>
          <w:szCs w:val="32"/>
        </w:rPr>
        <w:t>5178.52万元，预决算差异率39.40%，差异主要原因部分项目</w:t>
      </w:r>
      <w:r>
        <w:rPr>
          <w:rFonts w:hint="eastAsia" w:ascii="仿宋_GB2312" w:eastAsia="仿宋_GB2312" w:cs="仿宋_GB2312"/>
          <w:kern w:val="0"/>
          <w:sz w:val="32"/>
          <w:szCs w:val="32"/>
        </w:rPr>
        <w:t>上级专项资金其他保障性安居工程收入增加</w:t>
      </w:r>
      <w:r>
        <w:rPr>
          <w:rFonts w:hint="eastAsia" w:ascii="仿宋_GB2312" w:eastAsia="仿宋_GB2312"/>
          <w:sz w:val="32"/>
          <w:szCs w:val="32"/>
        </w:rPr>
        <w:t>。</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减少0万元，降低0%。增减变化的主要原因是：我单位无政府性基金预算财政拨款收入。政府性基金预算支出0万元。与上年相比，减少0万元，降低0%。增减变化的主要原因是：我单位无政府性基金预算财政拨款支出。其中：按功能分类科目（按类级科目公开）支出0万元，支出0万元。按经济分类科目（按类级科目公开）支出0万元，支出0万元。</w:t>
      </w:r>
    </w:p>
    <w:p>
      <w:pPr>
        <w:spacing w:line="640" w:lineRule="exact"/>
        <w:ind w:firstLine="640" w:firstLineChars="200"/>
        <w:rPr>
          <w:rFonts w:ascii="仿宋_GB2312" w:eastAsia="仿宋_GB2312"/>
          <w:color w:val="4F81BD"/>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无政府性基金预算财政拨款收入。政府性基金预算财政拨款支出年初预算数0万元，决算数0万元，预决算差异率0%，差异主要原因我单位无政府性基金预算财政拨款支出。</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三、部门结转结余情况</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年末结转结余1528.26万元。与上年相比，增加1138.53万元，增长292.1</w:t>
      </w:r>
      <w:r>
        <w:rPr>
          <w:rFonts w:hint="eastAsia" w:ascii="仿宋_GB2312" w:eastAsia="仿宋_GB2312"/>
          <w:sz w:val="32"/>
          <w:szCs w:val="32"/>
          <w:lang w:val="en-US" w:eastAsia="zh-CN"/>
        </w:rPr>
        <w:t>3</w:t>
      </w:r>
      <w:r>
        <w:rPr>
          <w:rFonts w:hint="eastAsia" w:ascii="仿宋_GB2312" w:eastAsia="仿宋_GB2312"/>
          <w:sz w:val="32"/>
          <w:szCs w:val="32"/>
        </w:rPr>
        <w:t>%。</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其中财政拨款结转结余1528.26万元。与上年相比，增加1138.53万元，增长292.1</w:t>
      </w:r>
      <w:r>
        <w:rPr>
          <w:rFonts w:hint="eastAsia" w:ascii="仿宋_GB2312" w:eastAsia="仿宋_GB2312"/>
          <w:sz w:val="32"/>
          <w:szCs w:val="32"/>
          <w:lang w:val="en-US" w:eastAsia="zh-CN"/>
        </w:rPr>
        <w:t>3</w:t>
      </w:r>
      <w:r>
        <w:rPr>
          <w:rFonts w:hint="eastAsia" w:ascii="仿宋_GB2312" w:eastAsia="仿宋_GB2312"/>
          <w:sz w:val="32"/>
          <w:szCs w:val="32"/>
        </w:rPr>
        <w:t>%。</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2018年度一般公共预算“三公”经费支出决算2.26万元，比上年减少0.01万元，降低0.</w:t>
      </w:r>
      <w:r>
        <w:rPr>
          <w:rFonts w:hint="eastAsia" w:ascii="仿宋_GB2312" w:eastAsia="仿宋_GB2312"/>
          <w:sz w:val="32"/>
          <w:szCs w:val="32"/>
          <w:lang w:val="en-US" w:eastAsia="zh-CN"/>
        </w:rPr>
        <w:t>44</w:t>
      </w:r>
      <w:r>
        <w:rPr>
          <w:rFonts w:hint="eastAsia" w:ascii="仿宋_GB2312" w:eastAsia="仿宋_GB2312"/>
          <w:sz w:val="32"/>
          <w:szCs w:val="32"/>
        </w:rPr>
        <w:t>%，减少原因是认真贯彻中央八项规定、自治区十条规定的要求，严格财务管理，压缩公务接待费。其中，因公出国（境）费支出0万元，占0%，比上年减少0万元，降低0%，减少原因是无因公出国（境）费支出；公务用车购置及运行维护费支出2.16万元，占95.58%，比上年减少0万元，降低0%，减少原因是与上年持平；公务接待费支出0.</w:t>
      </w:r>
      <w:r>
        <w:rPr>
          <w:rFonts w:hint="eastAsia" w:ascii="仿宋_GB2312" w:eastAsia="仿宋_GB2312"/>
          <w:sz w:val="32"/>
          <w:szCs w:val="32"/>
          <w:lang w:val="en-US" w:eastAsia="zh-CN"/>
        </w:rPr>
        <w:t>09</w:t>
      </w:r>
      <w:r>
        <w:rPr>
          <w:rFonts w:hint="eastAsia" w:ascii="仿宋_GB2312" w:eastAsia="仿宋_GB2312"/>
          <w:sz w:val="32"/>
          <w:szCs w:val="32"/>
        </w:rPr>
        <w:t>万元，占4.42%，比上年减少0.01万元，降低9.26%，减少原因是严格执行本级财政预算，严格执行中央八项规定。具体情况如下：</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因公出国（境）费支出0万元。和静县畜牧兽医局全年使用一般公共预算财政拨款安排的出国（境）团组0个，累计0人次。开支内容包括：无因公出国（境）费支出安排。</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公务用车购置及运行维护费2.16万元</w:t>
      </w:r>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其中，公务用车购置0万元，公务用车运行维护费2.16万元。主要用于和静县各乡镇（场）开展畜牧、兽医、草原、等业务，督查工作等。单位一般公共财政拨款安排的公务用车购置量0辆，保有量为2辆。</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公务接待费0.0</w:t>
      </w:r>
      <w:r>
        <w:rPr>
          <w:rFonts w:hint="eastAsia" w:ascii="仿宋_GB2312" w:eastAsia="仿宋_GB2312"/>
          <w:sz w:val="32"/>
          <w:szCs w:val="32"/>
          <w:lang w:val="en-US" w:eastAsia="zh-CN"/>
        </w:rPr>
        <w:t>9</w:t>
      </w:r>
      <w:r>
        <w:rPr>
          <w:rFonts w:hint="eastAsia" w:ascii="仿宋_GB2312" w:eastAsia="仿宋_GB2312"/>
          <w:sz w:val="32"/>
          <w:szCs w:val="32"/>
        </w:rPr>
        <w:t>万元。具体是：国内公务接待支出0.0</w:t>
      </w:r>
      <w:r>
        <w:rPr>
          <w:rFonts w:hint="eastAsia" w:ascii="仿宋_GB2312" w:eastAsia="仿宋_GB2312"/>
          <w:sz w:val="32"/>
          <w:szCs w:val="32"/>
          <w:lang w:val="en-US" w:eastAsia="zh-CN"/>
        </w:rPr>
        <w:t>9</w:t>
      </w:r>
      <w:r>
        <w:rPr>
          <w:rFonts w:hint="eastAsia" w:ascii="仿宋_GB2312" w:eastAsia="仿宋_GB2312"/>
          <w:sz w:val="32"/>
          <w:szCs w:val="32"/>
        </w:rPr>
        <w:t>万元，主要是各乡镇畜牧兽医局办事人员接待、相关会议（培训）等。和静县畜牧兽医局国内公务接待3批次，12人次。</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与年初预算数相比情况：一般公共预算“三公”经费支出年初预算数15.0</w:t>
      </w:r>
      <w:r>
        <w:rPr>
          <w:rFonts w:hint="eastAsia" w:ascii="仿宋_GB2312" w:eastAsia="仿宋_GB2312"/>
          <w:sz w:val="32"/>
          <w:szCs w:val="32"/>
          <w:lang w:val="en-US" w:eastAsia="zh-CN"/>
        </w:rPr>
        <w:t>3</w:t>
      </w:r>
      <w:r>
        <w:rPr>
          <w:rFonts w:hint="eastAsia" w:ascii="仿宋_GB2312" w:eastAsia="仿宋_GB2312"/>
          <w:sz w:val="32"/>
          <w:szCs w:val="32"/>
        </w:rPr>
        <w:t>万元，决算数2.26万元，预决算差异率</w:t>
      </w:r>
      <w:r>
        <w:rPr>
          <w:rFonts w:hint="eastAsia" w:ascii="仿宋_GB2312" w:eastAsia="仿宋_GB2312"/>
          <w:sz w:val="32"/>
          <w:szCs w:val="32"/>
          <w:highlight w:val="none"/>
          <w:lang w:val="en-US" w:eastAsia="zh-CN"/>
        </w:rPr>
        <w:t>-</w:t>
      </w:r>
      <w:r>
        <w:rPr>
          <w:rFonts w:hint="eastAsia" w:ascii="仿宋_GB2312" w:eastAsia="仿宋_GB2312"/>
          <w:sz w:val="32"/>
          <w:szCs w:val="32"/>
        </w:rPr>
        <w:t>84.96%，差异主要原因厉行节约，压缩“三公”经费支出。其中：因公出国（境）费预算数0万元，决算数0万元，预决算差异率0%，差异主要原因无因公出国（境）费；公务用车购置预算数0万元，决算数0万元，预决算差异率0%，差异主要原因无公务用车购置预算；公务用车运行费预算数14.93万元，决算数2.16万元，预决算差异率</w:t>
      </w:r>
      <w:r>
        <w:rPr>
          <w:rFonts w:hint="eastAsia" w:ascii="仿宋_GB2312" w:eastAsia="仿宋_GB2312"/>
          <w:sz w:val="32"/>
          <w:szCs w:val="32"/>
          <w:highlight w:val="none"/>
          <w:lang w:val="en-US" w:eastAsia="zh-CN"/>
        </w:rPr>
        <w:t>-</w:t>
      </w:r>
      <w:r>
        <w:rPr>
          <w:rFonts w:hint="eastAsia" w:ascii="仿宋_GB2312" w:eastAsia="仿宋_GB2312"/>
          <w:sz w:val="32"/>
          <w:szCs w:val="32"/>
        </w:rPr>
        <w:t>85.53%，差异主要原因厉行节约，减少公务用车；公务接待费预算数0.0</w:t>
      </w:r>
      <w:r>
        <w:rPr>
          <w:rFonts w:hint="eastAsia" w:ascii="仿宋_GB2312" w:eastAsia="仿宋_GB2312"/>
          <w:sz w:val="32"/>
          <w:szCs w:val="32"/>
          <w:lang w:val="en-US" w:eastAsia="zh-CN"/>
        </w:rPr>
        <w:t>9</w:t>
      </w:r>
      <w:r>
        <w:rPr>
          <w:rFonts w:hint="eastAsia" w:ascii="仿宋_GB2312" w:eastAsia="仿宋_GB2312"/>
          <w:sz w:val="32"/>
          <w:szCs w:val="32"/>
        </w:rPr>
        <w:t>万元，决算数0.0</w:t>
      </w:r>
      <w:r>
        <w:rPr>
          <w:rFonts w:hint="eastAsia" w:ascii="仿宋_GB2312" w:eastAsia="仿宋_GB2312"/>
          <w:sz w:val="32"/>
          <w:szCs w:val="32"/>
          <w:lang w:val="en-US" w:eastAsia="zh-CN"/>
        </w:rPr>
        <w:t>9</w:t>
      </w:r>
      <w:r>
        <w:rPr>
          <w:rFonts w:hint="eastAsia" w:ascii="仿宋_GB2312" w:eastAsia="仿宋_GB2312"/>
          <w:sz w:val="32"/>
          <w:szCs w:val="32"/>
        </w:rPr>
        <w:t>万元，预决算差异率0%，无差异主要原因严格执行本级财政预算。</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五、机关运行经费支出情况</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2018年度和静县畜牧兽医局（行政单位）机关运行经费支出83.12万元，比上年增加42.20万元，增长</w:t>
      </w:r>
      <w:r>
        <w:rPr>
          <w:rFonts w:hint="eastAsia" w:ascii="仿宋_GB2312" w:eastAsia="仿宋_GB2312"/>
          <w:sz w:val="32"/>
          <w:szCs w:val="32"/>
          <w:lang w:val="en-US" w:eastAsia="zh-CN"/>
        </w:rPr>
        <w:t>50.76</w:t>
      </w:r>
      <w:r>
        <w:rPr>
          <w:rFonts w:hint="eastAsia" w:ascii="仿宋_GB2312" w:eastAsia="仿宋_GB2312"/>
          <w:sz w:val="32"/>
          <w:szCs w:val="32"/>
        </w:rPr>
        <w:t>%，主要原因是新增工作队工作经费。</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六、政府采购情况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2018年度政府采购支出总额246.30万元，其中：政府采购货物支出246.30万元、政府采购工程支出0万元、政府采购服务支出0万元。</w:t>
      </w:r>
    </w:p>
    <w:p>
      <w:pPr>
        <w:spacing w:line="640" w:lineRule="exact"/>
        <w:ind w:firstLine="640" w:firstLineChars="200"/>
        <w:rPr>
          <w:rFonts w:ascii="黑体" w:hAnsi="黑体" w:eastAsia="黑体"/>
          <w:sz w:val="32"/>
          <w:szCs w:val="32"/>
        </w:rPr>
      </w:pPr>
      <w:r>
        <w:rPr>
          <w:rFonts w:hint="eastAsia" w:ascii="黑体" w:hAnsi="黑体" w:eastAsia="黑体"/>
          <w:sz w:val="32"/>
          <w:szCs w:val="32"/>
        </w:rPr>
        <w:t>七、其他重要事项的情况</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截至2018年12月31日，单位共有车辆2辆，价值63.44万元，其中：副部（省）级及以上领导用车0辆、主要领导干部用车0辆、机要通信用车0辆、应急保障用车0辆、执法执勤用车0辆、特种专业技术用车0辆、离退休干部用车0辆、其他用车2辆，其他用车主要是：用于开展各乡镇（场）畜牧、兽医、草原业务，督查等工作；单位价值50万元以上通用设备0台（套）、单位价值100万元以上专用设备0台（套）。</w:t>
      </w:r>
    </w:p>
    <w:p>
      <w:pPr>
        <w:spacing w:line="6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2018年度，本部门单位预算绩效自评情况：自述有关预算绩效管理和绩效自评开展情况。</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项目绩效自评综述：根据年初设定的绩效目标，项目绩效自评得分为95分。项目全年预算数为14947.25万元，执行数为14947.25万元，完成预算的100%。</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主要产出和效果：全面实施天然草原家庭承包到户面积2816.72万亩，其中禁牧草原面积65.31万亩，兑现禁牧补助资金3265.5万元，草畜平衡草原面积2751.41万亩</w:t>
      </w:r>
      <w:r>
        <w:rPr>
          <w:rFonts w:hint="eastAsia" w:ascii="仿宋_GB2312" w:eastAsia="仿宋_GB2312"/>
          <w:sz w:val="32"/>
          <w:szCs w:val="32"/>
          <w:highlight w:val="none"/>
          <w:lang w:eastAsia="zh-CN"/>
        </w:rPr>
        <w:t>，</w:t>
      </w:r>
      <w:r>
        <w:rPr>
          <w:rFonts w:hint="eastAsia" w:ascii="仿宋_GB2312" w:eastAsia="仿宋_GB2312"/>
          <w:sz w:val="32"/>
          <w:szCs w:val="32"/>
        </w:rPr>
        <w:t>兑现草畜平衡奖励资金6878.525万元，确保草原综合植被盖度达到70%以上，天然草原产草量达535.6公斤/亩。</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发现的问题及原因：1、单位人员不够用，绩效监控工作缺乏系统性。2、绩效考评指标设计不当。3、大部分干部对绩效管理的认识缺乏统一性。</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下一步改进措施：1、树立正确的绩效管理理念。2、建立系统的绩效管理体系。3、建立健全各项岗位人员安排。</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后附有关项目自评情况及项目支出绩效自评表。</w:t>
      </w:r>
    </w:p>
    <w:p>
      <w:pPr>
        <w:spacing w:line="640" w:lineRule="exact"/>
        <w:ind w:firstLine="640" w:firstLineChars="200"/>
        <w:jc w:val="center"/>
        <w:rPr>
          <w:rFonts w:hint="eastAsia" w:ascii="黑体" w:hAnsi="黑体" w:eastAsia="黑体"/>
          <w:sz w:val="32"/>
          <w:szCs w:val="32"/>
        </w:rPr>
      </w:pPr>
    </w:p>
    <w:p>
      <w:pPr>
        <w:spacing w:line="64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6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hint="eastAsia" w:ascii="仿宋_GB2312" w:eastAsia="仿宋_GB2312"/>
          <w:sz w:val="32"/>
          <w:szCs w:val="32"/>
        </w:rPr>
        <w:t>201（类）32（款）99（项）：是指其他组织事务支出。207（类）99（款）99（项）：是指其他文化体育与传媒支出。208（类）05（款）01（项）：是指归口管理的行政单位离退休。208（类）05（款）05（项）：是指机关事业单位基本养老保险缴费支出。208（类）05（款）06（项）：是指机关事业单位职业年金缴费支出。210（类）11（款）01（项）：是指行政事业单位医疗。210（类）11（款）03（项）：是指公务员医疗补助。212（类）99（款）99（项）：是指其他城乡社区支出。213（类）01（款）01（项）：是指行政运行。213（类）01（款）06（项）：是指科技转化与推广服务。213（类）01（款）08（项）：是指病虫害控制。213（类）01（款）35（项）：是指农业资源保护修复与利用。213（类）01（款）99（项）：是指其他农业支出。221（类）01（款）99（项）：是指其他保障性安居工程支出。221（类）02（款）01（项）：是指住房公积金。</w:t>
      </w:r>
    </w:p>
    <w:p>
      <w:pPr>
        <w:spacing w:line="640" w:lineRule="exact"/>
        <w:ind w:firstLine="643" w:firstLineChars="200"/>
        <w:rPr>
          <w:rFonts w:ascii="仿宋_GB2312" w:eastAsia="仿宋_GB2312"/>
          <w:b/>
          <w:sz w:val="32"/>
          <w:szCs w:val="32"/>
        </w:rPr>
      </w:pPr>
    </w:p>
    <w:p>
      <w:pPr>
        <w:spacing w:line="64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40" w:lineRule="exact"/>
        <w:ind w:firstLine="640" w:firstLineChars="200"/>
        <w:rPr>
          <w:rFonts w:ascii="仿宋_GB2312" w:eastAsia="仿宋_GB2312"/>
          <w:sz w:val="32"/>
          <w:szCs w:val="32"/>
        </w:rPr>
      </w:pPr>
    </w:p>
    <w:p>
      <w:pPr>
        <w:spacing w:line="640" w:lineRule="exact"/>
        <w:ind w:firstLine="640" w:firstLineChars="200"/>
        <w:jc w:val="right"/>
        <w:rPr>
          <w:rFonts w:ascii="仿宋_GB2312" w:eastAsia="仿宋_GB2312"/>
          <w:sz w:val="32"/>
          <w:szCs w:val="32"/>
        </w:rPr>
      </w:pPr>
    </w:p>
    <w:p>
      <w:pPr>
        <w:spacing w:line="640" w:lineRule="exact"/>
        <w:ind w:firstLine="640" w:firstLineChars="200"/>
        <w:jc w:val="right"/>
        <w:rPr>
          <w:rFonts w:ascii="仿宋_GB2312" w:eastAsia="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E0906"/>
    <w:rsid w:val="00004211"/>
    <w:rsid w:val="00012EBF"/>
    <w:rsid w:val="00036894"/>
    <w:rsid w:val="00061F15"/>
    <w:rsid w:val="000771AF"/>
    <w:rsid w:val="000A1294"/>
    <w:rsid w:val="000A4BBD"/>
    <w:rsid w:val="000A77E9"/>
    <w:rsid w:val="000B13B3"/>
    <w:rsid w:val="000B26C5"/>
    <w:rsid w:val="000C4AB8"/>
    <w:rsid w:val="000C7CF2"/>
    <w:rsid w:val="000E643F"/>
    <w:rsid w:val="0013085F"/>
    <w:rsid w:val="00136447"/>
    <w:rsid w:val="0014531E"/>
    <w:rsid w:val="00145F43"/>
    <w:rsid w:val="00161651"/>
    <w:rsid w:val="00193210"/>
    <w:rsid w:val="001A25BA"/>
    <w:rsid w:val="001C3B1B"/>
    <w:rsid w:val="001F2DAF"/>
    <w:rsid w:val="002049BA"/>
    <w:rsid w:val="002168EB"/>
    <w:rsid w:val="00251212"/>
    <w:rsid w:val="002A2297"/>
    <w:rsid w:val="002B4C0B"/>
    <w:rsid w:val="002F4B39"/>
    <w:rsid w:val="003345A7"/>
    <w:rsid w:val="00354ADB"/>
    <w:rsid w:val="00356656"/>
    <w:rsid w:val="00357B16"/>
    <w:rsid w:val="00395DDD"/>
    <w:rsid w:val="003D73F3"/>
    <w:rsid w:val="00406F5B"/>
    <w:rsid w:val="00426239"/>
    <w:rsid w:val="00440D8F"/>
    <w:rsid w:val="004669D3"/>
    <w:rsid w:val="0048106A"/>
    <w:rsid w:val="00493C74"/>
    <w:rsid w:val="00493F0E"/>
    <w:rsid w:val="004C6093"/>
    <w:rsid w:val="004E6902"/>
    <w:rsid w:val="005056CF"/>
    <w:rsid w:val="00514839"/>
    <w:rsid w:val="00550E84"/>
    <w:rsid w:val="00550F09"/>
    <w:rsid w:val="005614A2"/>
    <w:rsid w:val="005D4D93"/>
    <w:rsid w:val="00611478"/>
    <w:rsid w:val="00627ED9"/>
    <w:rsid w:val="006604D1"/>
    <w:rsid w:val="0067598F"/>
    <w:rsid w:val="006A02CA"/>
    <w:rsid w:val="006B055F"/>
    <w:rsid w:val="006C21E1"/>
    <w:rsid w:val="006C5629"/>
    <w:rsid w:val="00703520"/>
    <w:rsid w:val="00732EA9"/>
    <w:rsid w:val="0078703F"/>
    <w:rsid w:val="00797D44"/>
    <w:rsid w:val="007C0176"/>
    <w:rsid w:val="007F17EA"/>
    <w:rsid w:val="00830130"/>
    <w:rsid w:val="00843213"/>
    <w:rsid w:val="00874B6D"/>
    <w:rsid w:val="00884979"/>
    <w:rsid w:val="008D6C0D"/>
    <w:rsid w:val="00910388"/>
    <w:rsid w:val="00922F32"/>
    <w:rsid w:val="00926316"/>
    <w:rsid w:val="00935CA0"/>
    <w:rsid w:val="009D296C"/>
    <w:rsid w:val="009E7399"/>
    <w:rsid w:val="009F2616"/>
    <w:rsid w:val="009F75F8"/>
    <w:rsid w:val="00A25657"/>
    <w:rsid w:val="00A37A2F"/>
    <w:rsid w:val="00A4250F"/>
    <w:rsid w:val="00A61EBB"/>
    <w:rsid w:val="00A842AC"/>
    <w:rsid w:val="00A910AB"/>
    <w:rsid w:val="00AB28E6"/>
    <w:rsid w:val="00AB6023"/>
    <w:rsid w:val="00AD3492"/>
    <w:rsid w:val="00AF70E6"/>
    <w:rsid w:val="00B06727"/>
    <w:rsid w:val="00B10536"/>
    <w:rsid w:val="00B153E3"/>
    <w:rsid w:val="00B223BF"/>
    <w:rsid w:val="00B34C28"/>
    <w:rsid w:val="00B57297"/>
    <w:rsid w:val="00B82C01"/>
    <w:rsid w:val="00B96DEF"/>
    <w:rsid w:val="00C050DC"/>
    <w:rsid w:val="00C772D0"/>
    <w:rsid w:val="00C93464"/>
    <w:rsid w:val="00C9441C"/>
    <w:rsid w:val="00CA2754"/>
    <w:rsid w:val="00CD7B05"/>
    <w:rsid w:val="00CE44C0"/>
    <w:rsid w:val="00D21188"/>
    <w:rsid w:val="00D3549D"/>
    <w:rsid w:val="00D403FC"/>
    <w:rsid w:val="00D55193"/>
    <w:rsid w:val="00D72515"/>
    <w:rsid w:val="00D82FAC"/>
    <w:rsid w:val="00DB1415"/>
    <w:rsid w:val="00DC12BB"/>
    <w:rsid w:val="00DC4705"/>
    <w:rsid w:val="00DE0832"/>
    <w:rsid w:val="00E34903"/>
    <w:rsid w:val="00E4513A"/>
    <w:rsid w:val="00E60AD4"/>
    <w:rsid w:val="00E71A05"/>
    <w:rsid w:val="00E76674"/>
    <w:rsid w:val="00E907D7"/>
    <w:rsid w:val="00E958A7"/>
    <w:rsid w:val="00EC022C"/>
    <w:rsid w:val="00ED0ABB"/>
    <w:rsid w:val="00EE4D94"/>
    <w:rsid w:val="00F153C3"/>
    <w:rsid w:val="00F4230A"/>
    <w:rsid w:val="00F51016"/>
    <w:rsid w:val="00FE0906"/>
    <w:rsid w:val="016A017E"/>
    <w:rsid w:val="02AF16F8"/>
    <w:rsid w:val="04057E56"/>
    <w:rsid w:val="0599577E"/>
    <w:rsid w:val="064E0C22"/>
    <w:rsid w:val="0BB405BD"/>
    <w:rsid w:val="0EB42AA0"/>
    <w:rsid w:val="0FA05724"/>
    <w:rsid w:val="12560ADF"/>
    <w:rsid w:val="14803141"/>
    <w:rsid w:val="153448F8"/>
    <w:rsid w:val="17A81F6B"/>
    <w:rsid w:val="18C105DA"/>
    <w:rsid w:val="1A557EDD"/>
    <w:rsid w:val="1A9D42AF"/>
    <w:rsid w:val="22876434"/>
    <w:rsid w:val="25473018"/>
    <w:rsid w:val="26842DD9"/>
    <w:rsid w:val="29182639"/>
    <w:rsid w:val="2AAC1472"/>
    <w:rsid w:val="2DBE71DC"/>
    <w:rsid w:val="2E544013"/>
    <w:rsid w:val="2E867331"/>
    <w:rsid w:val="2F191F41"/>
    <w:rsid w:val="2FB4027B"/>
    <w:rsid w:val="30982EB2"/>
    <w:rsid w:val="30FC72FB"/>
    <w:rsid w:val="338747B3"/>
    <w:rsid w:val="34897763"/>
    <w:rsid w:val="37E33B10"/>
    <w:rsid w:val="38DA7440"/>
    <w:rsid w:val="3CF30D39"/>
    <w:rsid w:val="3FA2354A"/>
    <w:rsid w:val="3FDE3642"/>
    <w:rsid w:val="415406BB"/>
    <w:rsid w:val="41802D29"/>
    <w:rsid w:val="44C95EE6"/>
    <w:rsid w:val="45972477"/>
    <w:rsid w:val="4A366A93"/>
    <w:rsid w:val="4C6140A0"/>
    <w:rsid w:val="4C863FCF"/>
    <w:rsid w:val="4CA80DC7"/>
    <w:rsid w:val="4DFA517F"/>
    <w:rsid w:val="4E9D49EA"/>
    <w:rsid w:val="4F6A2167"/>
    <w:rsid w:val="4F704BF7"/>
    <w:rsid w:val="537C36CD"/>
    <w:rsid w:val="55D95054"/>
    <w:rsid w:val="58B35E94"/>
    <w:rsid w:val="5AC72767"/>
    <w:rsid w:val="5AC955DA"/>
    <w:rsid w:val="609A711B"/>
    <w:rsid w:val="610B3371"/>
    <w:rsid w:val="611F6146"/>
    <w:rsid w:val="63EC56EA"/>
    <w:rsid w:val="642D7971"/>
    <w:rsid w:val="6655537B"/>
    <w:rsid w:val="69F56B4C"/>
    <w:rsid w:val="6CF84AD0"/>
    <w:rsid w:val="6E602026"/>
    <w:rsid w:val="719E1CDB"/>
    <w:rsid w:val="71A665D5"/>
    <w:rsid w:val="723555AE"/>
    <w:rsid w:val="7348706B"/>
    <w:rsid w:val="737E3F61"/>
    <w:rsid w:val="73FE1D48"/>
    <w:rsid w:val="745B0806"/>
    <w:rsid w:val="77544FEC"/>
    <w:rsid w:val="782A59CC"/>
    <w:rsid w:val="79623472"/>
    <w:rsid w:val="7A477D94"/>
    <w:rsid w:val="7D34490E"/>
    <w:rsid w:val="7D646B86"/>
    <w:rsid w:val="7E1B2EBA"/>
    <w:rsid w:val="7E7273DA"/>
    <w:rsid w:val="7EC911C4"/>
    <w:rsid w:val="7FFE27B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lang w:bidi="mn-Mong-CN"/>
    </w:rPr>
  </w:style>
  <w:style w:type="character" w:styleId="7">
    <w:name w:val="Strong"/>
    <w:basedOn w:val="6"/>
    <w:qFormat/>
    <w:uiPriority w:val="0"/>
    <w:rPr>
      <w:b/>
      <w:bCs/>
    </w:rPr>
  </w:style>
  <w:style w:type="character" w:customStyle="1" w:styleId="8">
    <w:name w:val="页眉 Char"/>
    <w:basedOn w:val="6"/>
    <w:link w:val="3"/>
    <w:qFormat/>
    <w:uiPriority w:val="0"/>
    <w:rPr>
      <w:kern w:val="2"/>
      <w:sz w:val="18"/>
      <w:szCs w:val="18"/>
    </w:rPr>
  </w:style>
  <w:style w:type="character" w:customStyle="1" w:styleId="9">
    <w:name w:val="页脚 Char"/>
    <w:basedOn w:val="6"/>
    <w:link w:val="2"/>
    <w:qFormat/>
    <w:uiPriority w:val="0"/>
    <w:rPr>
      <w:kern w:val="2"/>
      <w:sz w:val="18"/>
      <w:szCs w:val="18"/>
    </w:rPr>
  </w:style>
  <w:style w:type="paragraph" w:styleId="10">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1069</Words>
  <Characters>6097</Characters>
  <Lines>50</Lines>
  <Paragraphs>14</Paragraphs>
  <TotalTime>14</TotalTime>
  <ScaleCrop>false</ScaleCrop>
  <LinksUpToDate>false</LinksUpToDate>
  <CharactersWithSpaces>7152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2019-09-24T08:30:00Z</dcterms:created>
  <dc:creator>GXR</dc:creator>
  <cp:lastModifiedBy>郝军震</cp:lastModifiedBy>
  <dcterms:modified xsi:type="dcterms:W3CDTF">2021-06-02T03:32:11Z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