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附件2：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  <w:u w:val="none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新疆维吾</w:t>
      </w:r>
      <w:bookmarkStart w:id="0" w:name="_GoBack"/>
      <w:bookmarkEnd w:id="0"/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尔自治区巴州和静县畜牧兽医局</w:t>
      </w: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  <w:u w:val="none"/>
        </w:rPr>
        <w:t>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（2018年度）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项目名称：和静县2018年粮改饲试点项目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实施单位（公章）：和静县畜牧兽医局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主管部门（公章）：和静县人民政府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项目负责人（签章）：李波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填报时间：2019年1月23日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2017年底，和静县牲畜存栏预计达到137万头只，牲畜出栏为98.46万头只，生产母畜存栏73.44万头只，母畜比65.4%；家禽出栏45万羽；肉类总产量为29494吨；蛋类总产量为2673吨；奶类总产量为10383吨。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2017年全县农作物正播面积45.76万亩。其中：小麦7.41万亩，平均亩产457.8公斤，同比增长2.6公斤；玉米9.63万亩，平均亩产769公斤，同比增长1.2公斤；加工辣椒15.22万亩，平均亩产403公斤，同比增长1.7公斤；加工番茄3.4万亩，平均亩产7530公斤，同比增长29公斤；甜菜2.42万亩，平均亩产5881公斤，同比增长9公斤。打瓜、孜然、甜叶菊、籽用西葫芦等其它经济作物6.51万亩。油料作物0.93万亩。豆类、薯类0.24万亩。设施农业面积8810亩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2018年12月到位项目资金75万元。</w:t>
      </w:r>
    </w:p>
    <w:p>
      <w:pPr>
        <w:spacing w:line="540" w:lineRule="exact"/>
        <w:ind w:firstLine="567" w:firstLineChars="181"/>
        <w:rPr>
          <w:rStyle w:val="19"/>
          <w:rFonts w:ascii="楷体" w:hAnsi="楷体" w:eastAsia="楷体"/>
          <w:spacing w:val="-4"/>
          <w:sz w:val="32"/>
          <w:szCs w:val="32"/>
        </w:rPr>
      </w:pPr>
      <w:r>
        <w:rPr>
          <w:rStyle w:val="19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pStyle w:val="11"/>
        <w:spacing w:line="520" w:lineRule="exact"/>
        <w:ind w:firstLine="640"/>
        <w:jc w:val="left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和静县在发挥财政资金引导作用的基础上，探索采用信贷担保、贴息等方式引导和撬动金融资本支持粮改饲工作，充分整合农机购置补贴、示范合作社创建、草原生态奖补等资金，多渠道、多方位争取资金支撑项目建设。根据《农业生产发展资金管理办法》（财农【2017】41号）的有关规定，农业生产发展资金实行“大专项+任务清单”管理方式。县财政、畜牧主管部门要加强对粮改饲项目资金分配、使用、管理情况的监督检查，发现问题及时纠正。严禁虚报冒领、骗取套取、挤占挪用项目资金；严禁违反规定向不符合条件的单位、个人（或项目）分配资金或者擅自超出规定的范围、标准分配或使用资金等，坚决杜绝滥用职权、玩忽职守、徇私舞弊等违法违纪行为发生。</w:t>
      </w:r>
    </w:p>
    <w:p>
      <w:pPr>
        <w:pStyle w:val="11"/>
        <w:spacing w:line="520" w:lineRule="exact"/>
        <w:ind w:firstLine="640"/>
        <w:jc w:val="left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 xml:space="preserve">项目采取先建后补方式，以组织管理、任务完成、工作进度、机制创新为重点，突出抓好青贮玉米等优质饲草料种植、收贮加工、资金补贴三个关键环节的监督管理。在收储工作结束后，及时组织验收组进行现场验收，验收时要查看实施单位的档案资料（包括养殖场承诺书、青贮玉米种植或收购协议、青贮收购单据、收购付款单、青贮制作时的影像资料以及实施单位相关资质证件），实地查验青贮情况（逐场逐池进行实地丈量和测量），并填写验收单据，验收组人员签字，验收结果公示后无异议，再由财政部门兑现补助资金。 </w:t>
      </w:r>
    </w:p>
    <w:p>
      <w:pPr>
        <w:pStyle w:val="11"/>
        <w:spacing w:line="520" w:lineRule="exact"/>
        <w:ind w:firstLine="640"/>
        <w:jc w:val="left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做好项目资金审计工作，及时上报工程进度、统计报表和财务执行情况等资料。</w:t>
      </w:r>
    </w:p>
    <w:p>
      <w:pPr>
        <w:spacing w:line="540" w:lineRule="exact"/>
        <w:ind w:firstLine="64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三、项目组织实施情况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（一）项目组织情况分析</w:t>
      </w:r>
    </w:p>
    <w:p>
      <w:pPr>
        <w:spacing w:line="520" w:lineRule="exact"/>
        <w:ind w:firstLine="640" w:firstLineChars="200"/>
        <w:jc w:val="left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和静县作为本次“粮改饲”项目试点县，成立由县分管领导为组长，相关部门负责人为副组长组成粮改饲项目领导小组，负责项目的申报、组织实施、监督检查、竣工验收及协调各方面关系，做好各项管理工作。领导小组成员由和静县相关乡镇场负责人组成。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和静县畜牧兽医局和财政局作为项目建设和监管单位，要严格按照项目要求和基建程序管理好项目，把握建设进度。同时，要依托上级畜牧草原部门的技术力量和技术支持，严格按照项目管理办法等有关规定，组织实施好工程建设，定期汇报建设进度，把好项目建设质量关。</w:t>
      </w:r>
    </w:p>
    <w:p>
      <w:pPr>
        <w:numPr>
          <w:ilvl w:val="0"/>
          <w:numId w:val="1"/>
        </w:numPr>
        <w:spacing w:line="540" w:lineRule="exact"/>
        <w:ind w:firstLine="581" w:firstLineChars="181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32"/>
          <w:szCs w:val="32"/>
        </w:rPr>
        <w:t>项目管理情况分析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项目采取先建后补方式，以组织管理、任务完成、工作进度、机制创新为重点，突出抓好青贮玉米等优质饲草料种植、收贮加工、资金补贴三个关键环节的监督管理。在收储工作结束后，及时组织验收组进行现场验收，验收时要查看实施单位的档案资料（包括养殖场承诺书、青贮玉米种植或收购协议、青贮收购单据、收购付款单、青贮制作时的影像资料以及实施单位相关资质证件），实地查验青贮情况（逐场逐池进行实地丈量和测量），并填写验收单据，验收组人员签字，验收结果公示后无异议，再由财政部门兑现补助资金。</w:t>
      </w:r>
    </w:p>
    <w:p>
      <w:pPr>
        <w:spacing w:line="540" w:lineRule="exact"/>
        <w:ind w:firstLine="640" w:firstLineChars="200"/>
        <w:rPr>
          <w:rFonts w:ascii="黑体" w:hAns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四、项目绩效情况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（一）项目绩效目标完成情况分析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1.产出指标完成情况分析。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（1）数量指标。收贮青贮玉米11.4万吨，面积为3.31万亩。截止目前已完成收储青贮玉米约12.47万吨，4万亩。</w:t>
      </w: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（2）质量指标。</w:t>
      </w:r>
      <w:r>
        <w:rPr>
          <w:rFonts w:eastAsia="方正仿宋_GBK"/>
          <w:sz w:val="32"/>
          <w:szCs w:val="32"/>
        </w:rPr>
        <w:t>通过</w:t>
      </w:r>
      <w:r>
        <w:rPr>
          <w:rFonts w:hint="eastAsia" w:eastAsia="方正仿宋_GBK"/>
          <w:sz w:val="32"/>
          <w:szCs w:val="32"/>
        </w:rPr>
        <w:t>各“粮改饲”</w:t>
      </w:r>
      <w:r>
        <w:rPr>
          <w:rFonts w:eastAsia="方正仿宋_GBK"/>
          <w:sz w:val="32"/>
          <w:szCs w:val="32"/>
        </w:rPr>
        <w:t>项目试点</w:t>
      </w:r>
      <w:r>
        <w:rPr>
          <w:rFonts w:hint="eastAsia" w:eastAsia="方正仿宋_GBK"/>
          <w:sz w:val="32"/>
          <w:szCs w:val="32"/>
        </w:rPr>
        <w:t>县级畜牧兽医局、财政局、乡镇组成项目验收组对“粮改饲”</w:t>
      </w:r>
      <w:r>
        <w:rPr>
          <w:rFonts w:eastAsia="方正仿宋_GBK"/>
          <w:sz w:val="32"/>
          <w:szCs w:val="32"/>
        </w:rPr>
        <w:t>项目</w:t>
      </w:r>
      <w:r>
        <w:rPr>
          <w:rFonts w:hint="eastAsia" w:eastAsia="方正仿宋_GBK"/>
          <w:sz w:val="32"/>
          <w:szCs w:val="32"/>
        </w:rPr>
        <w:t>实施主体进行检查验收，验收结果均为优质饲草料。通过“粮改饲”</w:t>
      </w:r>
      <w:r>
        <w:rPr>
          <w:rFonts w:eastAsia="方正仿宋_GBK"/>
          <w:sz w:val="32"/>
          <w:szCs w:val="32"/>
        </w:rPr>
        <w:t>项目</w:t>
      </w:r>
      <w:r>
        <w:rPr>
          <w:rFonts w:hint="eastAsia" w:eastAsia="方正仿宋_GBK"/>
          <w:sz w:val="32"/>
          <w:szCs w:val="32"/>
        </w:rPr>
        <w:t>实施</w:t>
      </w:r>
      <w:r>
        <w:rPr>
          <w:rFonts w:eastAsia="方正仿宋_GBK"/>
          <w:sz w:val="32"/>
          <w:szCs w:val="32"/>
        </w:rPr>
        <w:t>加深了种植户对青贮玉米品种选择、田间技术、合理确定收储时间及收割长度等技术的了解。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（3）时效指标。年初绩效目标为1年内完成，实际完成实际为1年，即：2018年1月-12月。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4）成本指标。种植全株青贮玉米减轻了我县玉米收储压力，规模养殖场全面普及全株青贮玉米，奶产量和肉品质等方面均有增加和提高，提升经济效益的同时也降低了饲料成本，增加了经济效益。同时可减少养殖环节饲草料成本投入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2.效益指标完成情况分析。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1）经济效益。2018年我县“粮改饲”试点项目完成3.31万亩的全株青贮玉米种植面积，按照每亩比种植籽实玉米增收160元计算，本项目将提高种植经济效益530万元以上。奶牛一个泌乳期平均增产300公斤，肉牛平均增重20公斤，肉羊平均增重2公斤。</w:t>
      </w:r>
    </w:p>
    <w:p>
      <w:pPr>
        <w:spacing w:line="56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（2）社会效益。</w:t>
      </w:r>
      <w:r>
        <w:rPr>
          <w:rFonts w:eastAsia="方正仿宋_GBK"/>
          <w:sz w:val="32"/>
          <w:szCs w:val="32"/>
        </w:rPr>
        <w:t>我</w:t>
      </w:r>
      <w:r>
        <w:rPr>
          <w:rFonts w:hint="eastAsia" w:eastAsia="方正仿宋_GBK"/>
          <w:sz w:val="32"/>
          <w:szCs w:val="32"/>
        </w:rPr>
        <w:t>县</w:t>
      </w:r>
      <w:r>
        <w:rPr>
          <w:rFonts w:eastAsia="方正仿宋_GBK"/>
          <w:sz w:val="32"/>
          <w:szCs w:val="32"/>
        </w:rPr>
        <w:t>通过“粮改饲”试点项目将粮食、经济作物的二元结构调整为粮食、经济、饲料作物的三元结构，将进一步提高国家粮食安全保障能力；通过项目试点，</w:t>
      </w:r>
      <w:r>
        <w:rPr>
          <w:rFonts w:hint="eastAsia" w:eastAsia="方正仿宋_GBK"/>
          <w:sz w:val="32"/>
          <w:szCs w:val="32"/>
        </w:rPr>
        <w:t>引导种植全株青贮玉米，可将单纯的粮仓变为“粮仓+奶罐+肉库”，促进了养殖业节本增效取得，探索建立种养结合、粮草兼顾的新型农牧业结构，实现种养加一体化、一二三产业融合，从而推动农牧业的可持续发展；通过种养加的紧密结合，饲料粮就地转化，让粮变肉、草变乳，实现过腹增值，有效缓解青贮饲料收储压力，提高土地产出效益，降低养殖成本；以点带面，带动周边农户及散养户尽快地找到脱贫致富的途径，促进生活配套设施建设，提高生活水平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3）生态效益。通过“粮改饲”试点项目建设，使草原生态保护与建设得到有效推进，大力发展饲草料种植，促进畜牧业生产方式的转变，从而减轻天然草场压力，改善植物群落结构，增加生物多样性和优良牧草种群比例，恢复草原植被，为逐步实现草原生态系统的良性循环奠定基础，实现天然草原的可持续利用。通过引导农牧民发展奶牛、肉羊、肉牛舍饲育肥生产，扩大出栏，加快周转，带动广大农牧民发展走种草养畜之路，实现粗放型畜牧业向集约化、科学化转变，促进农牧区结合调整农牧业产业结构，促进草原生态系统的良性循环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（4）可持续影响。</w:t>
      </w:r>
      <w:r>
        <w:rPr>
          <w:rFonts w:eastAsia="方正仿宋_GBK"/>
          <w:sz w:val="32"/>
          <w:szCs w:val="32"/>
        </w:rPr>
        <w:t>通过引导农牧民发展肉羊、肉牛舍饲育肥生产，扩大出栏，加快周转，带动广大农牧民发展走种草养畜之路，实现粗放型畜牧业向集约化、科学化转变，促进农牧区结合调整农牧业产业结构，促进草原生态系统的良性循环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3.满意度指标完成情况分析。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通过问卷调查的方式对项目实施主体进行测评，满意度达95%以上。</w:t>
      </w:r>
    </w:p>
    <w:p>
      <w:pPr>
        <w:tabs>
          <w:tab w:val="left" w:pos="1011"/>
        </w:tabs>
        <w:spacing w:line="540" w:lineRule="exact"/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（二）项目绩效目标未完成原因分析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项目绩效目标已全部完成。</w:t>
      </w:r>
    </w:p>
    <w:p>
      <w:pPr>
        <w:numPr>
          <w:ilvl w:val="0"/>
          <w:numId w:val="2"/>
        </w:numPr>
        <w:spacing w:line="540" w:lineRule="exact"/>
        <w:ind w:firstLine="640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其他需要说明的问题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（一）后续工作计划</w:t>
      </w:r>
    </w:p>
    <w:p>
      <w:pPr>
        <w:ind w:firstLine="640" w:firstLineChars="200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无后续工作及计划。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（二）主要经验及做法、存在问题和建议</w:t>
      </w:r>
    </w:p>
    <w:p>
      <w:pPr>
        <w:pStyle w:val="11"/>
        <w:spacing w:line="520" w:lineRule="exact"/>
        <w:ind w:firstLine="640"/>
        <w:jc w:val="left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粮改饲既是一项惠农政策，也是一项农业技术，抓好技术培训推广对于我们实施好粮改饲项目非常有必要。要把加强技术指导、创新服务模式、增强科技支撑作为长久之计，依托职业院校、科研院所及大型企业等平台，积极开展粮改饲技术培训、推广示范等活动，组织技术人员进村入户，现场指导青贮制作，不断提高粮改饲技术应用能力。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（三）其他</w:t>
      </w:r>
    </w:p>
    <w:p>
      <w:pPr>
        <w:spacing w:line="540" w:lineRule="exact"/>
        <w:ind w:firstLine="579" w:firstLineChars="181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充分利用报刊、网络等媒体，宣传粮改饲的项目建设对推动农牧业结构调整重要作用和战略意义，宣传报道项目建设中所取得的成效和经验，引导社会各界关注草牧业健康发展，为粮改饲试点营造良好的社会氛围、工作氛围和推广氛围。</w:t>
      </w:r>
    </w:p>
    <w:p>
      <w:pPr>
        <w:spacing w:line="540" w:lineRule="exact"/>
        <w:ind w:firstLine="640"/>
        <w:rPr>
          <w:rFonts w:eastAsia="方正仿宋_GBK"/>
          <w:bCs/>
        </w:rPr>
      </w:pPr>
      <w:r>
        <w:rPr>
          <w:rFonts w:hint="eastAsia" w:eastAsia="方正仿宋_GBK"/>
          <w:bCs/>
        </w:rPr>
        <w:t>六、项目评价工作情况</w:t>
      </w:r>
    </w:p>
    <w:p>
      <w:pPr>
        <w:pStyle w:val="11"/>
        <w:spacing w:line="520" w:lineRule="exact"/>
        <w:ind w:firstLine="640"/>
        <w:jc w:val="left"/>
        <w:rPr>
          <w:rFonts w:eastAsia="方正仿宋_GBK"/>
          <w:sz w:val="32"/>
          <w:szCs w:val="32"/>
        </w:rPr>
      </w:pPr>
      <w:r>
        <w:rPr>
          <w:rFonts w:hint="eastAsia" w:eastAsia="方正仿宋_GBK"/>
          <w:sz w:val="32"/>
          <w:szCs w:val="32"/>
        </w:rPr>
        <w:t>严格按照农业部《粮改饲工作绩效评价办法》、《新疆粮改饲工作绩效评价方案》要求，认真做好项目绩效评价管理工作，确保补贴资金发挥应有作用。</w:t>
      </w:r>
    </w:p>
    <w:p>
      <w:pPr>
        <w:spacing w:line="540" w:lineRule="exact"/>
        <w:ind w:firstLine="640"/>
        <w:rPr>
          <w:rStyle w:val="19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9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9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9"/>
          <w:rFonts w:hint="eastAsia" w:ascii="仿宋" w:hAnsi="仿宋" w:eastAsia="仿宋"/>
          <w:b w:val="0"/>
          <w:spacing w:val="-4"/>
          <w:sz w:val="32"/>
          <w:szCs w:val="32"/>
        </w:rPr>
        <w:t>《和静县畜牧兽医局项目支出绩效自评表》</w:t>
      </w: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MS Sans Serif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Arial Unicode MS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</w:sdtPr>
    <w:sdtContent>
      <w:p>
        <w:pPr>
          <w:pStyle w:val="13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7</w:t>
        </w:r>
        <w:r>
          <w:fldChar w:fldCharType="end"/>
        </w:r>
      </w:p>
    </w:sdtContent>
  </w:sdt>
  <w:p>
    <w:pPr>
      <w:pStyle w:val="1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AB2EA31"/>
    <w:multiLevelType w:val="singleLevel"/>
    <w:tmpl w:val="CAB2EA31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07099BD2"/>
    <w:multiLevelType w:val="singleLevel"/>
    <w:tmpl w:val="07099BD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CA6457"/>
    <w:rsid w:val="00026860"/>
    <w:rsid w:val="00056465"/>
    <w:rsid w:val="000B100C"/>
    <w:rsid w:val="00121AE4"/>
    <w:rsid w:val="00146AAD"/>
    <w:rsid w:val="001B3A40"/>
    <w:rsid w:val="002574E5"/>
    <w:rsid w:val="0029626A"/>
    <w:rsid w:val="002E590A"/>
    <w:rsid w:val="003908B7"/>
    <w:rsid w:val="003E310E"/>
    <w:rsid w:val="004366A8"/>
    <w:rsid w:val="004D00E9"/>
    <w:rsid w:val="004F26AF"/>
    <w:rsid w:val="00502BA7"/>
    <w:rsid w:val="005162F1"/>
    <w:rsid w:val="00527DAD"/>
    <w:rsid w:val="00535153"/>
    <w:rsid w:val="00554F82"/>
    <w:rsid w:val="00557407"/>
    <w:rsid w:val="0056390D"/>
    <w:rsid w:val="005719B0"/>
    <w:rsid w:val="005D10D6"/>
    <w:rsid w:val="0069633C"/>
    <w:rsid w:val="006A5116"/>
    <w:rsid w:val="006E6BB4"/>
    <w:rsid w:val="00743B81"/>
    <w:rsid w:val="007A1DCD"/>
    <w:rsid w:val="008157EF"/>
    <w:rsid w:val="00855E3A"/>
    <w:rsid w:val="008F0918"/>
    <w:rsid w:val="00922CB9"/>
    <w:rsid w:val="0092573B"/>
    <w:rsid w:val="009564B6"/>
    <w:rsid w:val="009E5CD9"/>
    <w:rsid w:val="00A26421"/>
    <w:rsid w:val="00A4293B"/>
    <w:rsid w:val="00A67D50"/>
    <w:rsid w:val="00A8691A"/>
    <w:rsid w:val="00AC1946"/>
    <w:rsid w:val="00B40063"/>
    <w:rsid w:val="00B41F61"/>
    <w:rsid w:val="00BA46E6"/>
    <w:rsid w:val="00C56C72"/>
    <w:rsid w:val="00CA6457"/>
    <w:rsid w:val="00D16AF4"/>
    <w:rsid w:val="00D17F2E"/>
    <w:rsid w:val="00D30354"/>
    <w:rsid w:val="00D83390"/>
    <w:rsid w:val="00D926BD"/>
    <w:rsid w:val="00DB05F3"/>
    <w:rsid w:val="00DF42A0"/>
    <w:rsid w:val="00E00D00"/>
    <w:rsid w:val="00E769FE"/>
    <w:rsid w:val="00EA2CBE"/>
    <w:rsid w:val="00EA30C9"/>
    <w:rsid w:val="00F015E7"/>
    <w:rsid w:val="00F218C4"/>
    <w:rsid w:val="00F32FEE"/>
    <w:rsid w:val="00FB10BB"/>
    <w:rsid w:val="0CD679C8"/>
    <w:rsid w:val="10955CDA"/>
    <w:rsid w:val="14FB4CB7"/>
    <w:rsid w:val="1E131545"/>
    <w:rsid w:val="2D850832"/>
    <w:rsid w:val="37FC34C7"/>
    <w:rsid w:val="4246192D"/>
    <w:rsid w:val="472238F6"/>
    <w:rsid w:val="4C2A222D"/>
    <w:rsid w:val="4E75747F"/>
    <w:rsid w:val="54B8738B"/>
    <w:rsid w:val="5D8510E3"/>
    <w:rsid w:val="5EE14349"/>
    <w:rsid w:val="61DD20C0"/>
    <w:rsid w:val="62502DE6"/>
    <w:rsid w:val="656C2F5F"/>
    <w:rsid w:val="68C571EC"/>
    <w:rsid w:val="6FF669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微软雅黑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8">
    <w:name w:val="Default Paragraph Font"/>
    <w:semiHidden/>
    <w:unhideWhenUsed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Balloon Text"/>
    <w:basedOn w:val="1"/>
    <w:link w:val="46"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4">
    <w:name w:val="header"/>
    <w:basedOn w:val="1"/>
    <w:link w:val="4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5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9">
    <w:name w:val="Strong"/>
    <w:basedOn w:val="18"/>
    <w:qFormat/>
    <w:uiPriority w:val="0"/>
    <w:rPr>
      <w:b/>
      <w:bCs/>
    </w:rPr>
  </w:style>
  <w:style w:type="character" w:styleId="20">
    <w:name w:val="Emphasis"/>
    <w:basedOn w:val="18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8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8"/>
    <w:link w:val="3"/>
    <w:semiHidden/>
    <w:qFormat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8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8"/>
    <w:link w:val="5"/>
    <w:semiHidden/>
    <w:qFormat/>
    <w:uiPriority w:val="9"/>
    <w:rPr>
      <w:b/>
      <w:bCs/>
      <w:sz w:val="28"/>
      <w:szCs w:val="28"/>
    </w:rPr>
  </w:style>
  <w:style w:type="character" w:customStyle="1" w:styleId="25">
    <w:name w:val="标题 5 Char"/>
    <w:basedOn w:val="18"/>
    <w:link w:val="6"/>
    <w:semiHidden/>
    <w:qFormat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8"/>
    <w:link w:val="7"/>
    <w:semiHidden/>
    <w:qFormat/>
    <w:uiPriority w:val="9"/>
    <w:rPr>
      <w:b/>
      <w:bCs/>
    </w:rPr>
  </w:style>
  <w:style w:type="character" w:customStyle="1" w:styleId="27">
    <w:name w:val="标题 7 Char"/>
    <w:basedOn w:val="18"/>
    <w:link w:val="8"/>
    <w:semiHidden/>
    <w:qFormat/>
    <w:uiPriority w:val="9"/>
    <w:rPr>
      <w:sz w:val="24"/>
      <w:szCs w:val="24"/>
    </w:rPr>
  </w:style>
  <w:style w:type="character" w:customStyle="1" w:styleId="28">
    <w:name w:val="标题 8 Char"/>
    <w:basedOn w:val="18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8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8"/>
    <w:link w:val="16"/>
    <w:qFormat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8"/>
    <w:link w:val="15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8"/>
    <w:link w:val="34"/>
    <w:qFormat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8"/>
    <w:link w:val="36"/>
    <w:qFormat/>
    <w:uiPriority w:val="30"/>
    <w:rPr>
      <w:b/>
      <w:i/>
      <w:sz w:val="24"/>
    </w:rPr>
  </w:style>
  <w:style w:type="character" w:customStyle="1" w:styleId="38">
    <w:name w:val="不明显强调1"/>
    <w:qFormat/>
    <w:uiPriority w:val="19"/>
    <w:rPr>
      <w:i/>
      <w:color w:val="595959" w:themeColor="text1" w:themeTint="A5"/>
    </w:rPr>
  </w:style>
  <w:style w:type="character" w:customStyle="1" w:styleId="39">
    <w:name w:val="明显强调1"/>
    <w:basedOn w:val="18"/>
    <w:qFormat/>
    <w:uiPriority w:val="21"/>
    <w:rPr>
      <w:b/>
      <w:i/>
      <w:sz w:val="24"/>
      <w:szCs w:val="24"/>
      <w:u w:val="single"/>
    </w:rPr>
  </w:style>
  <w:style w:type="character" w:customStyle="1" w:styleId="40">
    <w:name w:val="不明显参考1"/>
    <w:basedOn w:val="18"/>
    <w:qFormat/>
    <w:uiPriority w:val="31"/>
    <w:rPr>
      <w:sz w:val="24"/>
      <w:szCs w:val="24"/>
      <w:u w:val="single"/>
    </w:rPr>
  </w:style>
  <w:style w:type="character" w:customStyle="1" w:styleId="41">
    <w:name w:val="明显参考1"/>
    <w:basedOn w:val="18"/>
    <w:qFormat/>
    <w:uiPriority w:val="32"/>
    <w:rPr>
      <w:b/>
      <w:sz w:val="24"/>
      <w:u w:val="single"/>
    </w:rPr>
  </w:style>
  <w:style w:type="character" w:customStyle="1" w:styleId="42">
    <w:name w:val="书籍标题1"/>
    <w:basedOn w:val="18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标题1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8"/>
    <w:link w:val="14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8"/>
    <w:link w:val="13"/>
    <w:qFormat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8"/>
    <w:link w:val="12"/>
    <w:semiHidden/>
    <w:uiPriority w:val="99"/>
    <w:rPr>
      <w:rFonts w:ascii="Times New Roman" w:hAnsi="Times New Roman" w:eastAsia="宋体"/>
      <w:kern w:val="2"/>
      <w:sz w:val="18"/>
      <w:szCs w:val="18"/>
    </w:rPr>
  </w:style>
  <w:style w:type="character" w:customStyle="1" w:styleId="47">
    <w:name w:val="font11"/>
    <w:basedOn w:val="18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48">
    <w:name w:val="font31"/>
    <w:basedOn w:val="18"/>
    <w:uiPriority w:val="0"/>
    <w:rPr>
      <w:rFonts w:hint="default" w:ascii="MS Sans Serif" w:hAnsi="MS Sans Serif" w:eastAsia="MS Sans Serif" w:cs="MS Sans Serif"/>
      <w:color w:val="00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7</Pages>
  <Words>489</Words>
  <Characters>2791</Characters>
  <Lines>23</Lines>
  <Paragraphs>6</Paragraphs>
  <TotalTime>72</TotalTime>
  <ScaleCrop>false</ScaleCrop>
  <LinksUpToDate>false</LinksUpToDate>
  <CharactersWithSpaces>3274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2008-12-31T17:15:00Z</dcterms:created>
  <dc:creator>赵 恺（预算处）</dc:creator>
  <cp:lastModifiedBy>ʀᴇsᴛ</cp:lastModifiedBy>
  <cp:lastPrinted>2019-09-27T02:24:00Z</cp:lastPrinted>
  <dcterms:modified xsi:type="dcterms:W3CDTF">2020-04-04T12:37:41Z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