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80" w:firstLineChars="200"/>
        <w:jc w:val="center"/>
        <w:rPr>
          <w:rFonts w:hint="eastAsia" w:ascii="方正小标宋_GBK" w:hAnsi="宋体" w:eastAsia="方正小标宋_GBK" w:cs="Times New Roman"/>
          <w:kern w:val="2"/>
          <w:sz w:val="44"/>
          <w:szCs w:val="44"/>
          <w:highlight w:val="none"/>
        </w:rPr>
      </w:pPr>
    </w:p>
    <w:p>
      <w:pPr>
        <w:spacing w:line="600" w:lineRule="exact"/>
        <w:ind w:firstLine="880" w:firstLineChars="200"/>
        <w:jc w:val="center"/>
        <w:rPr>
          <w:rFonts w:hint="eastAsia" w:ascii="方正小标宋_GBK" w:hAnsi="宋体" w:eastAsia="方正小标宋_GBK" w:cs="Times New Roman"/>
          <w:kern w:val="2"/>
          <w:sz w:val="44"/>
          <w:szCs w:val="44"/>
          <w:highlight w:val="none"/>
        </w:rPr>
      </w:pPr>
    </w:p>
    <w:p>
      <w:pPr>
        <w:spacing w:line="600" w:lineRule="exact"/>
        <w:ind w:firstLine="880" w:firstLineChars="200"/>
        <w:jc w:val="center"/>
        <w:rPr>
          <w:rFonts w:hint="eastAsia" w:ascii="方正小标宋_GBK" w:hAnsi="宋体" w:eastAsia="方正小标宋_GBK" w:cs="Times New Roman"/>
          <w:kern w:val="2"/>
          <w:sz w:val="44"/>
          <w:szCs w:val="44"/>
          <w:highlight w:val="none"/>
        </w:rPr>
      </w:pPr>
    </w:p>
    <w:p>
      <w:pPr>
        <w:spacing w:line="600" w:lineRule="exact"/>
        <w:ind w:firstLine="880" w:firstLineChars="200"/>
        <w:jc w:val="center"/>
        <w:rPr>
          <w:rFonts w:hint="eastAsia" w:ascii="方正小标宋_GBK" w:hAnsi="宋体" w:eastAsia="方正小标宋_GBK" w:cs="Times New Roman"/>
          <w:kern w:val="2"/>
          <w:sz w:val="44"/>
          <w:szCs w:val="44"/>
          <w:highlight w:val="none"/>
        </w:rPr>
      </w:pPr>
    </w:p>
    <w:p>
      <w:pPr>
        <w:spacing w:line="600" w:lineRule="exact"/>
        <w:ind w:firstLine="880" w:firstLineChars="200"/>
        <w:jc w:val="center"/>
        <w:rPr>
          <w:rFonts w:hint="eastAsia" w:ascii="方正小标宋_GBK" w:hAnsi="宋体" w:eastAsia="方正小标宋_GBK" w:cs="Times New Roman"/>
          <w:kern w:val="2"/>
          <w:sz w:val="44"/>
          <w:szCs w:val="44"/>
          <w:highlight w:val="none"/>
        </w:rPr>
      </w:pPr>
    </w:p>
    <w:p>
      <w:pPr>
        <w:spacing w:line="600" w:lineRule="exact"/>
        <w:ind w:left="0" w:leftChars="0" w:firstLine="0" w:firstLineChars="0"/>
        <w:jc w:val="center"/>
        <w:rPr>
          <w:rFonts w:ascii="方正小标宋_GBK" w:hAnsi="宋体" w:eastAsia="方正小标宋_GBK" w:cs="Times New Roman"/>
          <w:kern w:val="2"/>
          <w:sz w:val="44"/>
          <w:szCs w:val="44"/>
          <w:highlight w:val="none"/>
        </w:rPr>
      </w:pPr>
      <w:r>
        <w:rPr>
          <w:rFonts w:hint="eastAsia" w:ascii="方正小标宋_GBK" w:hAnsi="宋体" w:eastAsia="方正小标宋_GBK" w:cs="Times New Roman"/>
          <w:kern w:val="2"/>
          <w:sz w:val="44"/>
          <w:szCs w:val="44"/>
          <w:highlight w:val="none"/>
        </w:rPr>
        <w:t>2018年度新疆巴音郭楞蒙古自治州和静县社会保险管理局部门决算公开说明</w:t>
      </w:r>
    </w:p>
    <w:p>
      <w:pPr>
        <w:spacing w:line="600" w:lineRule="exact"/>
        <w:ind w:firstLine="896" w:firstLineChars="200"/>
        <w:jc w:val="center"/>
        <w:rPr>
          <w:rFonts w:ascii="Times New Roman" w:hAnsi="Times New Roman" w:eastAsia="方正小标宋_GBK" w:cs="Times New Roman"/>
          <w:spacing w:val="4"/>
          <w:sz w:val="44"/>
          <w:szCs w:val="44"/>
          <w:highlight w:val="none"/>
        </w:rPr>
      </w:pPr>
    </w:p>
    <w:p>
      <w:pPr>
        <w:spacing w:line="600" w:lineRule="exact"/>
        <w:ind w:firstLine="896" w:firstLineChars="200"/>
        <w:jc w:val="center"/>
        <w:rPr>
          <w:rFonts w:ascii="Times New Roman" w:hAnsi="Times New Roman" w:eastAsia="方正小标宋_GBK" w:cs="Times New Roman"/>
          <w:spacing w:val="4"/>
          <w:sz w:val="44"/>
          <w:szCs w:val="44"/>
          <w:highlight w:val="none"/>
        </w:rPr>
      </w:pPr>
    </w:p>
    <w:p>
      <w:pPr>
        <w:spacing w:line="600" w:lineRule="exact"/>
        <w:ind w:firstLine="896" w:firstLineChars="200"/>
        <w:jc w:val="center"/>
        <w:rPr>
          <w:rFonts w:ascii="Times New Roman" w:hAnsi="Times New Roman" w:eastAsia="方正小标宋_GBK" w:cs="Times New Roman"/>
          <w:spacing w:val="4"/>
          <w:sz w:val="44"/>
          <w:szCs w:val="44"/>
          <w:highlight w:val="none"/>
        </w:rPr>
      </w:pPr>
    </w:p>
    <w:p>
      <w:pPr>
        <w:spacing w:line="600" w:lineRule="exact"/>
        <w:ind w:firstLine="896" w:firstLineChars="200"/>
        <w:jc w:val="center"/>
        <w:rPr>
          <w:rFonts w:ascii="Times New Roman" w:hAnsi="Times New Roman" w:eastAsia="方正小标宋_GBK" w:cs="Times New Roman"/>
          <w:spacing w:val="4"/>
          <w:sz w:val="44"/>
          <w:szCs w:val="44"/>
          <w:highlight w:val="none"/>
        </w:rPr>
      </w:pPr>
    </w:p>
    <w:p>
      <w:pPr>
        <w:spacing w:line="600" w:lineRule="exact"/>
        <w:ind w:firstLine="896" w:firstLineChars="200"/>
        <w:jc w:val="center"/>
        <w:rPr>
          <w:rFonts w:ascii="Times New Roman" w:hAnsi="Times New Roman" w:eastAsia="方正小标宋_GBK" w:cs="Times New Roman"/>
          <w:spacing w:val="4"/>
          <w:sz w:val="44"/>
          <w:szCs w:val="44"/>
          <w:highlight w:val="none"/>
        </w:rPr>
      </w:pPr>
    </w:p>
    <w:p>
      <w:pPr>
        <w:keepNext w:val="0"/>
        <w:keepLines w:val="0"/>
        <w:pageBreakBefore w:val="0"/>
        <w:kinsoku/>
        <w:wordWrap/>
        <w:overflowPunct/>
        <w:topLinePunct w:val="0"/>
        <w:autoSpaceDE/>
        <w:autoSpaceDN/>
        <w:bidi w:val="0"/>
        <w:spacing w:line="600" w:lineRule="exact"/>
        <w:ind w:firstLine="896" w:firstLineChars="200"/>
        <w:jc w:val="center"/>
        <w:textAlignment w:val="auto"/>
        <w:rPr>
          <w:rFonts w:ascii="Times New Roman" w:hAnsi="Times New Roman" w:eastAsia="方正小标宋_GBK" w:cs="Times New Roman"/>
          <w:spacing w:val="4"/>
          <w:sz w:val="44"/>
          <w:szCs w:val="44"/>
          <w:highlight w:val="none"/>
        </w:rPr>
      </w:pPr>
    </w:p>
    <w:p>
      <w:pPr>
        <w:keepNext w:val="0"/>
        <w:keepLines w:val="0"/>
        <w:pageBreakBefore w:val="0"/>
        <w:kinsoku/>
        <w:wordWrap/>
        <w:overflowPunct/>
        <w:topLinePunct w:val="0"/>
        <w:autoSpaceDE/>
        <w:autoSpaceDN/>
        <w:bidi w:val="0"/>
        <w:spacing w:line="600" w:lineRule="exact"/>
        <w:ind w:firstLine="896" w:firstLineChars="200"/>
        <w:jc w:val="center"/>
        <w:textAlignment w:val="auto"/>
        <w:rPr>
          <w:rFonts w:ascii="Times New Roman" w:hAnsi="Times New Roman" w:eastAsia="方正小标宋_GBK" w:cs="Times New Roman"/>
          <w:spacing w:val="4"/>
          <w:sz w:val="44"/>
          <w:szCs w:val="44"/>
          <w:highlight w:val="none"/>
        </w:rPr>
      </w:pPr>
    </w:p>
    <w:p>
      <w:pPr>
        <w:keepNext w:val="0"/>
        <w:keepLines w:val="0"/>
        <w:pageBreakBefore w:val="0"/>
        <w:kinsoku/>
        <w:wordWrap/>
        <w:overflowPunct/>
        <w:topLinePunct w:val="0"/>
        <w:autoSpaceDE/>
        <w:autoSpaceDN/>
        <w:bidi w:val="0"/>
        <w:spacing w:line="600" w:lineRule="exact"/>
        <w:ind w:firstLine="896" w:firstLineChars="200"/>
        <w:jc w:val="center"/>
        <w:textAlignment w:val="auto"/>
        <w:rPr>
          <w:rFonts w:ascii="Times New Roman" w:hAnsi="Times New Roman" w:eastAsia="方正小标宋_GBK" w:cs="Times New Roman"/>
          <w:spacing w:val="4"/>
          <w:sz w:val="44"/>
          <w:szCs w:val="44"/>
          <w:highlight w:val="none"/>
        </w:rPr>
      </w:pPr>
    </w:p>
    <w:p>
      <w:pPr>
        <w:keepNext w:val="0"/>
        <w:keepLines w:val="0"/>
        <w:pageBreakBefore w:val="0"/>
        <w:kinsoku/>
        <w:wordWrap/>
        <w:overflowPunct/>
        <w:topLinePunct w:val="0"/>
        <w:autoSpaceDE/>
        <w:autoSpaceDN/>
        <w:bidi w:val="0"/>
        <w:spacing w:line="600" w:lineRule="exact"/>
        <w:ind w:firstLine="896" w:firstLineChars="200"/>
        <w:jc w:val="center"/>
        <w:textAlignment w:val="auto"/>
        <w:rPr>
          <w:rFonts w:ascii="Times New Roman" w:hAnsi="Times New Roman" w:eastAsia="方正小标宋_GBK" w:cs="Times New Roman"/>
          <w:spacing w:val="4"/>
          <w:sz w:val="44"/>
          <w:szCs w:val="44"/>
          <w:highlight w:val="none"/>
        </w:rPr>
      </w:pPr>
    </w:p>
    <w:p>
      <w:pPr>
        <w:keepNext w:val="0"/>
        <w:keepLines w:val="0"/>
        <w:pageBreakBefore w:val="0"/>
        <w:kinsoku/>
        <w:wordWrap/>
        <w:overflowPunct/>
        <w:topLinePunct w:val="0"/>
        <w:autoSpaceDE/>
        <w:autoSpaceDN/>
        <w:bidi w:val="0"/>
        <w:spacing w:line="600" w:lineRule="exact"/>
        <w:ind w:firstLine="656" w:firstLineChars="200"/>
        <w:jc w:val="center"/>
        <w:textAlignment w:val="auto"/>
        <w:rPr>
          <w:rFonts w:ascii="Times New Roman" w:hAnsi="Times New Roman" w:eastAsia="黑体" w:cs="Times New Roman"/>
          <w:bCs/>
          <w:spacing w:val="4"/>
          <w:sz w:val="32"/>
          <w:szCs w:val="32"/>
          <w:highlight w:val="none"/>
        </w:rPr>
      </w:pPr>
      <w:r>
        <w:rPr>
          <w:rFonts w:ascii="Times New Roman" w:hAnsi="黑体" w:eastAsia="黑体" w:cs="Times New Roman"/>
          <w:bCs/>
          <w:spacing w:val="4"/>
          <w:sz w:val="32"/>
          <w:szCs w:val="32"/>
          <w:highlight w:val="none"/>
        </w:rPr>
        <w:t>目录</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黑体" w:hAnsi="黑体" w:eastAsia="黑体" w:cs="Times New Roman"/>
          <w:sz w:val="32"/>
          <w:szCs w:val="32"/>
          <w:highlight w:val="none"/>
        </w:rPr>
      </w:pPr>
      <w:r>
        <w:rPr>
          <w:rFonts w:ascii="黑体" w:hAnsi="黑体" w:eastAsia="黑体" w:cs="Times New Roman"/>
          <w:sz w:val="32"/>
          <w:szCs w:val="32"/>
          <w:highlight w:val="none"/>
        </w:rPr>
        <w:t>第一部分部门单位概况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二、机构设置情况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黑体" w:hAnsi="黑体" w:eastAsia="黑体" w:cs="Times New Roman"/>
          <w:sz w:val="32"/>
          <w:szCs w:val="32"/>
          <w:highlight w:val="none"/>
        </w:rPr>
      </w:pPr>
      <w:r>
        <w:rPr>
          <w:rFonts w:ascii="黑体" w:hAnsi="黑体" w:eastAsia="黑体" w:cs="Times New Roman"/>
          <w:sz w:val="32"/>
          <w:szCs w:val="32"/>
          <w:highlight w:val="none"/>
        </w:rPr>
        <w:t>第二部分部门决算情况说明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一、部门收支总体情况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（一）部门收入支出决算总体情况说明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（二）部门收入总体情况说明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（三）部门支出总体情况说明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二、部门财政拨款收支情况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（一）财政拨款收支总体情况说明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（二）一般公共预算收支决算情况说明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（三）政府性基金预算收支决算情况说明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三、部门结转结余情况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四、一般公共预算“三公”经费支出情况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五、机关运行经费支出情况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六、政府采购情况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七、其他重要事项的情况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（一）国有资产占用情况说明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（二）预算绩效情况的说明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黑体" w:hAnsi="黑体" w:eastAsia="黑体" w:cs="Times New Roman"/>
          <w:sz w:val="32"/>
          <w:szCs w:val="32"/>
          <w:highlight w:val="none"/>
        </w:rPr>
      </w:pPr>
      <w:r>
        <w:rPr>
          <w:rFonts w:ascii="黑体" w:hAnsi="黑体" w:eastAsia="黑体" w:cs="Times New Roman"/>
          <w:sz w:val="32"/>
          <w:szCs w:val="32"/>
          <w:highlight w:val="none"/>
        </w:rPr>
        <w:t>第三部分专业名词解释</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黑体" w:hAnsi="黑体" w:eastAsia="黑体" w:cs="Times New Roman"/>
          <w:sz w:val="32"/>
          <w:szCs w:val="32"/>
          <w:highlight w:val="none"/>
        </w:rPr>
      </w:pPr>
      <w:r>
        <w:rPr>
          <w:rFonts w:ascii="黑体" w:hAnsi="黑体" w:eastAsia="黑体" w:cs="Times New Roman"/>
          <w:sz w:val="32"/>
          <w:szCs w:val="32"/>
          <w:highlight w:val="none"/>
        </w:rPr>
        <w:t>第四部分部门决算公开的8张报表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《收入支出决算总表》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《收入决算表》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《支出决算表》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《财政拨款收入支出决算总表》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《一般公共预算财政拨款支出决算表》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《一般公共预算财政拨款基本支出决算表》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《一般公共预算财政拨款“三公”经费支出决算表》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《政府性基金预算财政拨款收入支出决算表》</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hint="eastAsia" w:ascii="Times New Roman" w:hAnsi="黑体" w:eastAsia="黑体" w:cs="Times New Roman"/>
          <w:spacing w:val="4"/>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center"/>
        <w:textAlignment w:val="auto"/>
        <w:rPr>
          <w:rFonts w:ascii="Times New Roman" w:hAnsi="黑体" w:eastAsia="黑体" w:cs="Times New Roman"/>
          <w:spacing w:val="4"/>
          <w:kern w:val="2"/>
          <w:sz w:val="32"/>
          <w:szCs w:val="32"/>
          <w:highlight w:val="none"/>
        </w:rPr>
      </w:pPr>
      <w:r>
        <w:rPr>
          <w:rFonts w:ascii="Times New Roman" w:hAnsi="黑体" w:eastAsia="黑体" w:cs="Times New Roman"/>
          <w:spacing w:val="4"/>
          <w:kern w:val="2"/>
          <w:sz w:val="32"/>
          <w:szCs w:val="32"/>
          <w:highlight w:val="none"/>
        </w:rPr>
        <w:t>第一部分部门单位概况</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Times New Roman" w:hAnsi="黑体" w:eastAsia="黑体" w:cs="Times New Roman"/>
          <w:spacing w:val="4"/>
          <w:kern w:val="2"/>
          <w:sz w:val="32"/>
          <w:szCs w:val="32"/>
          <w:highlight w:val="none"/>
        </w:rPr>
      </w:pPr>
      <w:r>
        <w:rPr>
          <w:rFonts w:ascii="Times New Roman" w:hAnsi="黑体" w:eastAsia="黑体" w:cs="Times New Roman"/>
          <w:spacing w:val="4"/>
          <w:kern w:val="2"/>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一</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按照建立完善社会保险管理体制的要求，依据有关法规和政策，拟定社会保险经办机构进行社会保险登记、负责编制全县社会保险事业发展规划、年度计划并组织实施；</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二</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负责全县各养老，医疗，工伤，生育保险的登记，中断、转移、接续和终止，费用审核结算，领取资格认证等业务经办盒服务工作；</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三</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负责执行全县各种保险基金预算管理</w:t>
      </w:r>
      <w:r>
        <w:rPr>
          <w:rFonts w:hint="eastAsia" w:ascii="仿宋_GB2312" w:hAnsi="Times New Roman" w:eastAsia="仿宋_GB2312" w:cs="Times New Roman"/>
          <w:spacing w:val="4"/>
          <w:sz w:val="32"/>
          <w:szCs w:val="32"/>
          <w:highlight w:val="none"/>
          <w:lang w:val="en-US" w:eastAsia="zh-CN"/>
        </w:rPr>
        <w:t>，</w:t>
      </w:r>
      <w:r>
        <w:rPr>
          <w:rFonts w:hint="eastAsia" w:ascii="仿宋_GB2312" w:hAnsi="Times New Roman" w:eastAsia="仿宋_GB2312" w:cs="Times New Roman"/>
          <w:spacing w:val="4"/>
          <w:sz w:val="32"/>
          <w:szCs w:val="32"/>
          <w:highlight w:val="none"/>
        </w:rPr>
        <w:t>会计财务核算管理，编制财务报表；</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四</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负责建立和完善内控制度，执行内部审核，审计稽核用人单位社会保险费缴纳，社会保险待遇支付和领取情况。</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五</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负责全县社会保险经办业务档案的标准化，日常管理和查询利用；</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六</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负责社会保险业务咨询，宣传，培训和参保对象社会保险权益告知，查询等服务事项；</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七</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负责指导乡镇，街道社会保障服务中心开展社会保险经办服务工作；</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八</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 xml:space="preserve"> 负责全县养老、失业、工伤，生育，医疗保险征缴计划并组织实施；负责按时足额支付养老，医疗，工伤，生育，保险待遇。</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九</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负责全县企业和机关事业单位退休人员社会化管理；</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十</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承办上级部门交办的其他事项。</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textAlignment w:val="auto"/>
        <w:rPr>
          <w:rFonts w:ascii="Times New Roman" w:hAnsi="Times New Roman" w:eastAsia="黑体" w:cs="Times New Roman"/>
          <w:spacing w:val="4"/>
          <w:kern w:val="2"/>
          <w:sz w:val="32"/>
          <w:szCs w:val="32"/>
          <w:highlight w:val="none"/>
        </w:rPr>
      </w:pPr>
      <w:r>
        <w:rPr>
          <w:rFonts w:ascii="Times New Roman" w:hAnsi="黑体" w:eastAsia="黑体" w:cs="Times New Roman"/>
          <w:spacing w:val="4"/>
          <w:kern w:val="2"/>
          <w:sz w:val="32"/>
          <w:szCs w:val="32"/>
          <w:highlight w:val="none"/>
        </w:rPr>
        <w:t>二、机构设置情况</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both"/>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从决算单位构成看，新疆巴音郭楞蒙古自治州和静县社会保险管理局部门决算包括：新疆巴音郭楞蒙古自治州和静县社会保险管理局部门本级决算、所属单位决算等。</w:t>
      </w:r>
    </w:p>
    <w:p>
      <w:pPr>
        <w:keepNext w:val="0"/>
        <w:keepLines w:val="0"/>
        <w:pageBreakBefore w:val="0"/>
        <w:widowControl w:val="0"/>
        <w:kinsoku/>
        <w:wordWrap/>
        <w:overflowPunct/>
        <w:topLinePunct w:val="0"/>
        <w:autoSpaceDE/>
        <w:autoSpaceDN/>
        <w:bidi w:val="0"/>
        <w:adjustRightInd/>
        <w:snapToGrid/>
        <w:spacing w:after="0" w:line="600" w:lineRule="exact"/>
        <w:ind w:firstLine="656" w:firstLineChars="200"/>
        <w:jc w:val="both"/>
        <w:textAlignment w:val="auto"/>
        <w:rPr>
          <w:rFonts w:hint="eastAsia"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纳入新疆巴音郭楞蒙古自治州和静县社会保险管理局2018年部门决算编制范围的单位名单见下表：</w:t>
      </w:r>
    </w:p>
    <w:p>
      <w:pPr>
        <w:widowControl w:val="0"/>
        <w:adjustRightInd/>
        <w:snapToGrid/>
        <w:spacing w:after="0" w:line="600" w:lineRule="exact"/>
        <w:ind w:firstLine="656" w:firstLineChars="200"/>
        <w:jc w:val="both"/>
        <w:rPr>
          <w:rFonts w:ascii="仿宋_GB2312" w:hAnsi="Times New Roman" w:eastAsia="仿宋_GB2312" w:cs="Times New Roman"/>
          <w:spacing w:val="4"/>
          <w:sz w:val="32"/>
          <w:szCs w:val="32"/>
          <w:highlight w:val="none"/>
        </w:rPr>
      </w:pPr>
    </w:p>
    <w:tbl>
      <w:tblPr>
        <w:tblStyle w:val="5"/>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513"/>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959" w:type="dxa"/>
            <w:vAlign w:val="center"/>
          </w:tcPr>
          <w:p>
            <w:pPr>
              <w:spacing w:line="600" w:lineRule="exact"/>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序号</w:t>
            </w:r>
          </w:p>
        </w:tc>
        <w:tc>
          <w:tcPr>
            <w:tcW w:w="7513" w:type="dxa"/>
            <w:vAlign w:val="center"/>
          </w:tcPr>
          <w:p>
            <w:pPr>
              <w:spacing w:line="600" w:lineRule="exact"/>
              <w:jc w:val="center"/>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单位名称</w:t>
            </w:r>
          </w:p>
        </w:tc>
        <w:tc>
          <w:tcPr>
            <w:tcW w:w="1278" w:type="dxa"/>
            <w:vAlign w:val="center"/>
          </w:tcPr>
          <w:p>
            <w:pPr>
              <w:spacing w:line="600" w:lineRule="exact"/>
              <w:jc w:val="center"/>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trPr>
        <w:tc>
          <w:tcPr>
            <w:tcW w:w="959" w:type="dxa"/>
            <w:vAlign w:val="center"/>
          </w:tcPr>
          <w:p>
            <w:pPr>
              <w:spacing w:line="600" w:lineRule="exact"/>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1</w:t>
            </w:r>
          </w:p>
        </w:tc>
        <w:tc>
          <w:tcPr>
            <w:tcW w:w="7513" w:type="dxa"/>
          </w:tcPr>
          <w:p>
            <w:pPr>
              <w:spacing w:line="600" w:lineRule="exact"/>
              <w:ind w:left="-108" w:leftChars="-49" w:firstLine="101" w:firstLineChars="31"/>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新疆巴音郭楞蒙古自治州和静县社会保险管理局</w:t>
            </w:r>
          </w:p>
        </w:tc>
        <w:tc>
          <w:tcPr>
            <w:tcW w:w="1278" w:type="dxa"/>
            <w:vAlign w:val="center"/>
          </w:tcPr>
          <w:p>
            <w:pPr>
              <w:spacing w:line="600" w:lineRule="exact"/>
              <w:ind w:firstLine="656" w:firstLineChars="200"/>
              <w:jc w:val="both"/>
              <w:rPr>
                <w:rFonts w:ascii="仿宋_GB2312" w:hAnsi="Times New Roman" w:eastAsia="仿宋_GB2312" w:cs="Times New Roman"/>
                <w:spacing w:val="4"/>
                <w:sz w:val="32"/>
                <w:szCs w:val="32"/>
                <w:highlight w:val="none"/>
              </w:rPr>
            </w:pPr>
          </w:p>
        </w:tc>
      </w:tr>
    </w:tbl>
    <w:p>
      <w:pPr>
        <w:adjustRightInd/>
        <w:snapToGrid/>
        <w:spacing w:after="0" w:line="600" w:lineRule="exact"/>
        <w:ind w:firstLine="656" w:firstLineChars="200"/>
        <w:rPr>
          <w:rFonts w:ascii="方正仿宋_GB2312" w:hAnsi="方正仿宋_GB2312" w:eastAsia="方正仿宋_GB2312" w:cs="方正仿宋_GB2312"/>
          <w:color w:val="000000" w:themeColor="text1"/>
          <w:spacing w:val="4"/>
          <w:sz w:val="32"/>
          <w:szCs w:val="32"/>
          <w:highlight w:val="none"/>
        </w:rPr>
      </w:pPr>
    </w:p>
    <w:p>
      <w:pPr>
        <w:keepNext w:val="0"/>
        <w:keepLines w:val="0"/>
        <w:pageBreakBefore w:val="0"/>
        <w:kinsoku/>
        <w:wordWrap/>
        <w:overflowPunct/>
        <w:topLinePunct w:val="0"/>
        <w:autoSpaceDE/>
        <w:autoSpaceDN/>
        <w:bidi w:val="0"/>
        <w:spacing w:line="600" w:lineRule="exact"/>
        <w:ind w:firstLine="656" w:firstLineChars="200"/>
        <w:jc w:val="center"/>
        <w:textAlignment w:val="auto"/>
        <w:rPr>
          <w:rFonts w:ascii="Times New Roman" w:hAnsi="Times New Roman" w:eastAsia="黑体" w:cs="Times New Roman"/>
          <w:spacing w:val="4"/>
          <w:sz w:val="32"/>
          <w:szCs w:val="32"/>
          <w:highlight w:val="none"/>
        </w:rPr>
      </w:pPr>
      <w:r>
        <w:rPr>
          <w:rFonts w:ascii="Times New Roman" w:hAnsi="黑体" w:eastAsia="黑体" w:cs="Times New Roman"/>
          <w:spacing w:val="4"/>
          <w:sz w:val="32"/>
          <w:szCs w:val="32"/>
          <w:highlight w:val="none"/>
        </w:rPr>
        <w:t>第二部分部门决算情况说明</w:t>
      </w:r>
    </w:p>
    <w:p>
      <w:pPr>
        <w:keepNext w:val="0"/>
        <w:keepLines w:val="0"/>
        <w:pageBreakBefore w:val="0"/>
        <w:kinsoku/>
        <w:wordWrap/>
        <w:overflowPunct/>
        <w:topLinePunct w:val="0"/>
        <w:autoSpaceDE/>
        <w:autoSpaceDN/>
        <w:bidi w:val="0"/>
        <w:spacing w:line="600" w:lineRule="exact"/>
        <w:ind w:firstLine="659" w:firstLineChars="200"/>
        <w:textAlignment w:val="auto"/>
        <w:rPr>
          <w:rFonts w:ascii="Times New Roman" w:hAnsi="Times New Roman" w:eastAsia="黑体" w:cs="Times New Roman"/>
          <w:b/>
          <w:spacing w:val="4"/>
          <w:sz w:val="32"/>
          <w:szCs w:val="32"/>
          <w:highlight w:val="none"/>
        </w:rPr>
      </w:pPr>
      <w:r>
        <w:rPr>
          <w:rFonts w:ascii="Times New Roman" w:hAnsi="黑体" w:eastAsia="黑体" w:cs="Times New Roman"/>
          <w:b/>
          <w:spacing w:val="4"/>
          <w:sz w:val="32"/>
          <w:szCs w:val="32"/>
          <w:highlight w:val="none"/>
        </w:rPr>
        <w:t>一、部门收支总体情况</w:t>
      </w:r>
    </w:p>
    <w:p>
      <w:pPr>
        <w:keepNext w:val="0"/>
        <w:keepLines w:val="0"/>
        <w:pageBreakBefore w:val="0"/>
        <w:kinsoku/>
        <w:wordWrap/>
        <w:overflowPunct/>
        <w:topLinePunct w:val="0"/>
        <w:autoSpaceDE/>
        <w:autoSpaceDN/>
        <w:bidi w:val="0"/>
        <w:spacing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（一）部门收入支出决算总体情况说明</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lang w:val="en-GB"/>
        </w:rPr>
      </w:pPr>
      <w:r>
        <w:rPr>
          <w:rFonts w:hint="eastAsia" w:ascii="仿宋_GB2312" w:hAnsi="Times New Roman" w:eastAsia="仿宋_GB2312" w:cs="Times New Roman"/>
          <w:spacing w:val="4"/>
          <w:sz w:val="32"/>
          <w:szCs w:val="32"/>
          <w:highlight w:val="none"/>
        </w:rPr>
        <w:t>2018年度收入13789.94万元</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与上年相比，增加6921万元，增长100.77%，增减变化主要原因是：政策性调资，人员增加，上级专项增加。 支出13789.94万元</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与上年相比</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增加6921万元，增长100.77%，增减变化主要原因是政策性调资，人员增加，上级专项增加。结余0万元，与上年相比，增加0万元，增长0%。增减变化主要原因是：本年度我单位无结余。</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（二）部门收入总体情况说明</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本年收入合计13789.94万元，其中：财政拨款收入13789.94万元，占100%；上级补助收入0万元，占0%；事业收入0万元，占0%；经营收入0万元，占0%；附属单位缴款0万元，占0%；其他收入0万元，占0%。</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与年初预算数相比情况：本年收入年初预算数3922万元，决算数13789.94万元，预决算差异率251%万元，差异主要原因政策性调资，人员增加，上级专项增加。</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（三）部门支出总体情况说明</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本年支出合计13789.94万元，其中：基本支出12632.08万元，占91%；项目支出1157.86万元，占9%；上缴上级支出0万元，占0%；经营支出0万元，占0%；对附属单位补助支出0万元，占0%。</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与年初预算数相比情况：本年支出年初预算数3922万元，决算数13789.94万元，预决算差异率251%万元，差异主要原因政策性调资，人员增加，上级专项增加。</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二、部门财政拨款收支情况</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（一）财政拨款收支总体情况说明</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2018年度财政拨款收入13789万元，与上年相比，增加6921万元，增长100.77%。增减变化的主要原因是：政策性调资，人员增加，上级专项增加。财政拨款支出13789万元，与上年相比，增加6921万元，增长100.77%。增减变化的主要原因是：政策性调资，人员增加，上级专项增加。其中：基本支出12632.08万元，项目支出1157.86万元。财政拨款结转结余0万元，与上年相比，增加0万元，增长0%。增减变化的主要原因是本单位财政拨款结转结余。</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与年初预算数相比情况：财政拨款收入年初预算数3922万元，决算数13789.94万元，预决算差异率251%，差异主要原因政策性调资，人员增加，上级专项增加。财政拨款支出年初预算数3922万元，决算数13789.94万元，预决算差异率251%，差异主要原因政策性调资，人员增加，上级专项增加。</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（二）一般公共预算支出决算情况说明</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2018年度一般公共预算财政拨款收入13618.94万元，与上年相比，增加6752万元，增长99.75%，增减变化的主要原因是：政策性调资，人员增加，上级专项增加。一般公共预算财政拨款支出13618.94万元，与上年相比，增加6752万元，增长99.75%，增减变化的主要原因是：政策性调资，人员增加，上级专项增加。其中：</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按功能分类科目（按类级科目公开）：201（类）一般公共服务支出10.92万元，208（类）社会保障和就业支出5851.96万元，210（类）医疗卫生与计划生育支出7008.58万元，213（类）农林水支出718.37万元，221（类）住房保障支出29.11万元。</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按经济分类科目（按类级科目公开），301（类）工资福利支出391.35万元，302（类）商品和服务支出50.26万元，303（类）对个人好家庭补助支出12190.47万元。</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与年初预算数相比情况：一般公共预算财政拨款收入年初预算数为3922万元，决算数13618.94万元，预决算差异率251%。差异主要原因 ：一般公共预算财政拨款支出年初预算数为3922万元，决算数13618.94万元，预决算差异率251%。差异主要原因：政策性调资，人员增加，上级专项增加。</w:t>
      </w:r>
      <w:r>
        <w:rPr>
          <w:rFonts w:hint="eastAsia" w:ascii="Times New Roman" w:hAnsi="Times New Roman" w:eastAsia="仿宋_GB2312" w:cs="Times New Roman"/>
          <w:spacing w:val="4"/>
          <w:sz w:val="32"/>
          <w:szCs w:val="32"/>
          <w:highlight w:val="none"/>
        </w:rPr>
        <w:t> </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（三）政府性基金预算收支决算情况说明</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2018年度政府性基金预算财政拨款收入171万元，与上年相比，增加171万元，增长100%，增减变化的主要原因是：政府性基金上级专项资金增加。政府性基金预算支出171万元，与上年相比，增加171万元，增长100%。增减变化的主要原因是：政府性基金上级专项资金增加。其中：</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按功能分类科目（按类级科目公开），229（类）其他支出171万元。按经济分类科目（按类级科目公开），303（类）对个人的家庭补助支出171万元。</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与年初预算数相比情况：政府性基金预算财政拨款收入年初预算数0万元，决算数171万元，预决算差异率100%，差异主要原因政府性基金上级专项资金未纳入年初预算。政府性基金预算财政拨款支出年初预算数0万元，决算数171万元，预决算差异率100%，差异主要原因全部为政府性基金上级专项资金未纳入年初预算。</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三、部门结转结余情况</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年末结转结余0万元。与上年相比，增加0万元，增长0%。</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其中财政拨款结转结余0万元。与上年相比，增加0万元，增长0%。</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四、一般公共预算</w:t>
      </w:r>
      <w:r>
        <w:rPr>
          <w:rFonts w:ascii="Times New Roman" w:hAnsi="Times New Roman" w:eastAsia="黑体" w:cs="Times New Roman"/>
          <w:b/>
          <w:color w:val="000000" w:themeColor="text1"/>
          <w:spacing w:val="4"/>
          <w:sz w:val="32"/>
          <w:szCs w:val="32"/>
          <w:highlight w:val="none"/>
        </w:rPr>
        <w:t>“</w:t>
      </w:r>
      <w:r>
        <w:rPr>
          <w:rFonts w:ascii="Times New Roman" w:hAnsi="黑体" w:eastAsia="黑体" w:cs="Times New Roman"/>
          <w:b/>
          <w:color w:val="000000" w:themeColor="text1"/>
          <w:spacing w:val="4"/>
          <w:sz w:val="32"/>
          <w:szCs w:val="32"/>
          <w:highlight w:val="none"/>
        </w:rPr>
        <w:t>三公</w:t>
      </w:r>
      <w:r>
        <w:rPr>
          <w:rFonts w:ascii="Times New Roman" w:hAnsi="Times New Roman" w:eastAsia="黑体" w:cs="Times New Roman"/>
          <w:b/>
          <w:color w:val="000000" w:themeColor="text1"/>
          <w:spacing w:val="4"/>
          <w:sz w:val="32"/>
          <w:szCs w:val="32"/>
          <w:highlight w:val="none"/>
        </w:rPr>
        <w:t>”</w:t>
      </w:r>
      <w:r>
        <w:rPr>
          <w:rFonts w:ascii="Times New Roman" w:hAnsi="黑体" w:eastAsia="黑体" w:cs="Times New Roman"/>
          <w:b/>
          <w:color w:val="000000" w:themeColor="text1"/>
          <w:spacing w:val="4"/>
          <w:sz w:val="32"/>
          <w:szCs w:val="32"/>
          <w:highlight w:val="none"/>
        </w:rPr>
        <w:t>经费支出情况</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2018年度一般公共预算“三公”经费支出决算2.086万元，比上年减少0.0030万元，降低0.3%，减少原因是认真贯彻中央八项规定、自治区十条规定的要求，严格财务管理，压缩“三公”经费支出。其中，因公出国（境）费支出0万元，占0%，比上年减少0万元，降低0%，减少原因是我单位本年度无因公出国（境）费支出；公务用车购置及运行维护费支出2.0万元，占97.3%，比上年增加0.01万元，增长1.37%，增加原因是单位用车辆运行开支增加；公务接待费支出0.08万元，占2.7%，比上年减少0.0010元，降低10%，减少原因是单位贯彻中央八项规定，厉行节约。具体情况如下：</w:t>
      </w:r>
    </w:p>
    <w:p>
      <w:pPr>
        <w:keepNext w:val="0"/>
        <w:keepLines w:val="0"/>
        <w:pageBreakBefore w:val="0"/>
        <w:kinsoku/>
        <w:wordWrap/>
        <w:overflowPunct/>
        <w:topLinePunct w:val="0"/>
        <w:autoSpaceDE/>
        <w:autoSpaceDN/>
        <w:bidi w:val="0"/>
        <w:spacing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因公出国（境）费支出0万元。</w:t>
      </w:r>
      <w:r>
        <w:rPr>
          <w:rFonts w:ascii="Times New Roman" w:hAnsi="Times New Roman" w:eastAsia="仿宋_GB2312" w:cs="Times New Roman"/>
          <w:spacing w:val="4"/>
          <w:sz w:val="32"/>
          <w:szCs w:val="32"/>
          <w:highlight w:val="none"/>
        </w:rPr>
        <w:t>和静县社会保险管理局</w:t>
      </w:r>
      <w:r>
        <w:rPr>
          <w:rFonts w:hint="eastAsia" w:ascii="仿宋_GB2312" w:hAnsi="Times New Roman" w:eastAsia="仿宋_GB2312" w:cs="Times New Roman"/>
          <w:spacing w:val="4"/>
          <w:sz w:val="32"/>
          <w:szCs w:val="32"/>
          <w:highlight w:val="none"/>
        </w:rPr>
        <w:t>全年使用一般公共预算财政拨款安排的出国（境）团组0个，累计0人次。开支内容包括：本单位无因公出国（境）费支出安排。</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公务用车购置及运行维护费2.0万元</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其中，公务用车购置0万元，公务用车运行维护费2.0万元。主要用于保险费、修理费、燃料费、停车费等。单位一般公共财政拨款安排的公务用车购置量0辆，保有量为</w:t>
      </w:r>
      <w:r>
        <w:rPr>
          <w:rFonts w:hint="eastAsia" w:ascii="仿宋_GB2312" w:hAnsi="Times New Roman" w:eastAsia="仿宋_GB2312" w:cs="Times New Roman"/>
          <w:spacing w:val="4"/>
          <w:sz w:val="32"/>
          <w:szCs w:val="32"/>
          <w:highlight w:val="none"/>
          <w:lang w:val="en-US" w:eastAsia="zh-CN"/>
        </w:rPr>
        <w:t>2</w:t>
      </w:r>
      <w:r>
        <w:rPr>
          <w:rFonts w:hint="eastAsia" w:ascii="仿宋_GB2312" w:hAnsi="Times New Roman" w:eastAsia="仿宋_GB2312" w:cs="Times New Roman"/>
          <w:spacing w:val="4"/>
          <w:sz w:val="32"/>
          <w:szCs w:val="32"/>
          <w:highlight w:val="none"/>
        </w:rPr>
        <w:t>辆</w:t>
      </w:r>
      <w:r>
        <w:rPr>
          <w:rFonts w:hint="eastAsia" w:ascii="仿宋_GB2312" w:hAnsi="Times New Roman" w:eastAsia="仿宋_GB2312" w:cs="Times New Roman"/>
          <w:spacing w:val="4"/>
          <w:sz w:val="32"/>
          <w:szCs w:val="32"/>
          <w:highlight w:val="none"/>
        </w:rPr>
        <w:t>。</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eastAsia="仿宋_GB2312"/>
          <w:sz w:val="32"/>
          <w:szCs w:val="32"/>
          <w:highlight w:val="none"/>
        </w:rPr>
      </w:pPr>
      <w:r>
        <w:rPr>
          <w:rFonts w:hint="eastAsia" w:ascii="仿宋_GB2312" w:hAnsi="Times New Roman" w:eastAsia="仿宋_GB2312" w:cs="Times New Roman"/>
          <w:spacing w:val="4"/>
          <w:sz w:val="32"/>
          <w:szCs w:val="32"/>
          <w:highlight w:val="none"/>
        </w:rPr>
        <w:t>公务接待费0.08万元。</w:t>
      </w:r>
      <w:r>
        <w:rPr>
          <w:rFonts w:hint="eastAsia" w:ascii="仿宋_GB2312" w:eastAsia="仿宋_GB2312"/>
          <w:sz w:val="32"/>
          <w:szCs w:val="32"/>
          <w:highlight w:val="none"/>
        </w:rPr>
        <w:t>具体是：国内公务接待支出0.08万元，主要是乡镇检查。</w:t>
      </w:r>
      <w:r>
        <w:rPr>
          <w:rFonts w:ascii="Times New Roman" w:hAnsi="Times New Roman" w:eastAsia="仿宋_GB2312" w:cs="Times New Roman"/>
          <w:spacing w:val="4"/>
          <w:sz w:val="32"/>
          <w:szCs w:val="32"/>
          <w:highlight w:val="none"/>
        </w:rPr>
        <w:t>和静县社会保险管理局</w:t>
      </w:r>
      <w:r>
        <w:rPr>
          <w:rFonts w:hint="eastAsia" w:ascii="仿宋_GB2312" w:eastAsia="仿宋_GB2312"/>
          <w:sz w:val="32"/>
          <w:szCs w:val="32"/>
          <w:highlight w:val="none"/>
        </w:rPr>
        <w:t>国内公务接待4批次，40人次。</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highlight w:val="none"/>
        </w:rPr>
      </w:pPr>
      <w:r>
        <w:rPr>
          <w:rFonts w:hint="eastAsia" w:ascii="仿宋_GB2312" w:hAnsi="Times New Roman" w:eastAsia="仿宋_GB2312" w:cs="Times New Roman"/>
          <w:spacing w:val="4"/>
          <w:sz w:val="32"/>
          <w:szCs w:val="32"/>
          <w:highlight w:val="none"/>
        </w:rPr>
        <w:t>与年初预算数相比情况：一般公共预算“三公”经费支出年初预算数3.29万元，决算数2.09万元，预决算差异率</w:t>
      </w:r>
      <w:r>
        <w:rPr>
          <w:rFonts w:hint="eastAsia" w:ascii="仿宋_GB2312" w:hAnsi="Times New Roman" w:eastAsia="仿宋_GB2312" w:cs="Times New Roman"/>
          <w:spacing w:val="4"/>
          <w:sz w:val="32"/>
          <w:szCs w:val="32"/>
          <w:highlight w:val="none"/>
        </w:rPr>
        <w:t>-</w:t>
      </w:r>
      <w:r>
        <w:rPr>
          <w:rFonts w:hint="eastAsia" w:ascii="仿宋_GB2312" w:hAnsi="Times New Roman" w:eastAsia="仿宋_GB2312" w:cs="Times New Roman"/>
          <w:spacing w:val="4"/>
          <w:sz w:val="32"/>
          <w:szCs w:val="32"/>
          <w:highlight w:val="none"/>
        </w:rPr>
        <w:t>36%，差异主要原因厉行节约，压缩“三公”经费支出。其中：</w:t>
      </w:r>
      <w:bookmarkStart w:id="0" w:name="_GoBack"/>
      <w:bookmarkEnd w:id="0"/>
      <w:r>
        <w:rPr>
          <w:rFonts w:hint="eastAsia" w:ascii="仿宋_GB2312" w:hAnsi="Times New Roman" w:eastAsia="仿宋_GB2312" w:cs="Times New Roman"/>
          <w:spacing w:val="4"/>
          <w:sz w:val="32"/>
          <w:szCs w:val="32"/>
          <w:highlight w:val="none"/>
        </w:rPr>
        <w:t>因公出国（境）费预算数0万元，决算数0万元，预决算差异率0%，差异主要原因我单位无因公出国（境）费预算；公务用车购置预算数0万元，决算数0万元，预决算差异率0%，差异主要原因我单位无因公出国（境）费预算；公务用车运行费预算数2.97万元，决算数2.0万元，预决算差异率</w:t>
      </w:r>
      <w:r>
        <w:rPr>
          <w:rFonts w:hint="eastAsia" w:ascii="仿宋_GB2312" w:hAnsi="Times New Roman" w:eastAsia="仿宋_GB2312" w:cs="Times New Roman"/>
          <w:spacing w:val="4"/>
          <w:sz w:val="32"/>
          <w:szCs w:val="32"/>
          <w:highlight w:val="none"/>
        </w:rPr>
        <w:t>-</w:t>
      </w:r>
      <w:r>
        <w:rPr>
          <w:rFonts w:hint="eastAsia" w:ascii="仿宋_GB2312" w:hAnsi="Times New Roman" w:eastAsia="仿宋_GB2312" w:cs="Times New Roman"/>
          <w:spacing w:val="4"/>
          <w:sz w:val="32"/>
          <w:szCs w:val="32"/>
          <w:highlight w:val="none"/>
        </w:rPr>
        <w:t>32%，差异主要原因厉行节约，压缩公务用车运行费；公务接待费预算数0. 3万元，决算数0.08万元，预决算差异率</w:t>
      </w:r>
      <w:r>
        <w:rPr>
          <w:rFonts w:hint="eastAsia" w:ascii="仿宋_GB2312" w:hAnsi="Times New Roman" w:eastAsia="仿宋_GB2312" w:cs="Times New Roman"/>
          <w:spacing w:val="4"/>
          <w:sz w:val="32"/>
          <w:szCs w:val="32"/>
          <w:highlight w:val="none"/>
        </w:rPr>
        <w:t>-</w:t>
      </w:r>
      <w:r>
        <w:rPr>
          <w:rFonts w:hint="eastAsia" w:ascii="仿宋_GB2312" w:hAnsi="Times New Roman" w:eastAsia="仿宋_GB2312" w:cs="Times New Roman"/>
          <w:spacing w:val="4"/>
          <w:sz w:val="32"/>
          <w:szCs w:val="32"/>
          <w:highlight w:val="none"/>
        </w:rPr>
        <w:t>72%，差异主要原因厉行节约，压缩公务接待费开支。</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五、机关运行经费支出情况</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Times New Roman" w:hAnsi="Times New Roman" w:eastAsia="仿宋_GB2312" w:cs="Times New Roman"/>
          <w:spacing w:val="4"/>
          <w:sz w:val="32"/>
          <w:szCs w:val="32"/>
          <w:highlight w:val="none"/>
        </w:rPr>
      </w:pPr>
      <w:r>
        <w:rPr>
          <w:rFonts w:ascii="Times New Roman" w:hAnsi="Times New Roman" w:eastAsia="仿宋_GB2312" w:cs="Times New Roman"/>
          <w:spacing w:val="4"/>
          <w:sz w:val="32"/>
          <w:szCs w:val="32"/>
          <w:highlight w:val="none"/>
        </w:rPr>
        <w:t>2018年度和静县社会保险管理局</w:t>
      </w:r>
      <w:r>
        <w:rPr>
          <w:rFonts w:hint="eastAsia" w:ascii="Times New Roman" w:hAnsi="Times New Roman" w:eastAsia="仿宋_GB2312" w:cs="Times New Roman"/>
          <w:spacing w:val="4"/>
          <w:sz w:val="32"/>
          <w:szCs w:val="32"/>
          <w:highlight w:val="none"/>
        </w:rPr>
        <w:t>（事业</w:t>
      </w:r>
      <w:r>
        <w:rPr>
          <w:rFonts w:ascii="Times New Roman" w:hAnsi="Times New Roman" w:eastAsia="仿宋_GB2312" w:cs="Times New Roman"/>
          <w:spacing w:val="4"/>
          <w:sz w:val="32"/>
          <w:szCs w:val="32"/>
          <w:highlight w:val="none"/>
        </w:rPr>
        <w:t>单位</w:t>
      </w:r>
      <w:r>
        <w:rPr>
          <w:rFonts w:hint="eastAsia" w:ascii="Times New Roman" w:hAnsi="Times New Roman" w:eastAsia="仿宋_GB2312" w:cs="Times New Roman"/>
          <w:spacing w:val="4"/>
          <w:sz w:val="32"/>
          <w:szCs w:val="32"/>
          <w:highlight w:val="none"/>
        </w:rPr>
        <w:t>）</w:t>
      </w:r>
      <w:r>
        <w:rPr>
          <w:rFonts w:ascii="Times New Roman" w:hAnsi="Times New Roman" w:eastAsia="仿宋_GB2312" w:cs="Times New Roman"/>
          <w:spacing w:val="4"/>
          <w:sz w:val="32"/>
          <w:szCs w:val="32"/>
          <w:highlight w:val="none"/>
        </w:rPr>
        <w:t>机关运行经费支出17.1万元，比上年减少0.44万元，</w:t>
      </w:r>
      <w:r>
        <w:rPr>
          <w:rFonts w:hint="eastAsia" w:ascii="Times New Roman" w:hAnsi="Times New Roman" w:eastAsia="仿宋_GB2312" w:cs="Times New Roman"/>
          <w:spacing w:val="4"/>
          <w:sz w:val="32"/>
          <w:szCs w:val="32"/>
          <w:highlight w:val="none"/>
        </w:rPr>
        <w:t>降低</w:t>
      </w:r>
      <w:r>
        <w:rPr>
          <w:rFonts w:ascii="Times New Roman" w:hAnsi="Times New Roman" w:eastAsia="仿宋_GB2312" w:cs="Times New Roman"/>
          <w:spacing w:val="4"/>
          <w:sz w:val="32"/>
          <w:szCs w:val="32"/>
          <w:highlight w:val="none"/>
        </w:rPr>
        <w:t>2.5%，主要原因是压缩公用经费开支。</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六、政府采购情况</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Times New Roman" w:hAnsi="Times New Roman" w:eastAsia="仿宋_GB2312" w:cs="Times New Roman"/>
          <w:spacing w:val="4"/>
          <w:sz w:val="32"/>
          <w:szCs w:val="32"/>
          <w:highlight w:val="none"/>
        </w:rPr>
      </w:pPr>
      <w:r>
        <w:rPr>
          <w:rFonts w:hint="eastAsia" w:ascii="Times New Roman" w:hAnsi="Times New Roman" w:eastAsia="仿宋_GB2312" w:cs="Times New Roman"/>
          <w:spacing w:val="4"/>
          <w:sz w:val="32"/>
          <w:szCs w:val="32"/>
          <w:highlight w:val="none"/>
        </w:rPr>
        <w:t>2018年度</w:t>
      </w:r>
      <w:r>
        <w:rPr>
          <w:rFonts w:ascii="Times New Roman" w:hAnsi="Times New Roman" w:eastAsia="仿宋_GB2312" w:cs="Times New Roman"/>
          <w:spacing w:val="4"/>
          <w:sz w:val="32"/>
          <w:szCs w:val="32"/>
          <w:highlight w:val="none"/>
        </w:rPr>
        <w:t>政府采购</w:t>
      </w:r>
      <w:r>
        <w:rPr>
          <w:rFonts w:hint="eastAsia" w:ascii="Times New Roman" w:hAnsi="Times New Roman" w:eastAsia="仿宋_GB2312" w:cs="Times New Roman"/>
          <w:spacing w:val="4"/>
          <w:sz w:val="32"/>
          <w:szCs w:val="32"/>
          <w:highlight w:val="none"/>
        </w:rPr>
        <w:t>支出总额</w:t>
      </w:r>
      <w:r>
        <w:rPr>
          <w:rFonts w:ascii="Times New Roman" w:hAnsi="Times New Roman" w:eastAsia="仿宋_GB2312" w:cs="Times New Roman"/>
          <w:spacing w:val="4"/>
          <w:sz w:val="32"/>
          <w:szCs w:val="32"/>
          <w:highlight w:val="none"/>
        </w:rPr>
        <w:t>0万元，其中：政府采购货物支出0万元、政府采购工程支出0万元、政府采购服务支出0万元。</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黑体" w:cs="Times New Roman"/>
          <w:b/>
          <w:color w:val="000000" w:themeColor="text1"/>
          <w:spacing w:val="4"/>
          <w:sz w:val="32"/>
          <w:szCs w:val="32"/>
          <w:highlight w:val="none"/>
        </w:rPr>
      </w:pPr>
      <w:r>
        <w:rPr>
          <w:rFonts w:ascii="Times New Roman" w:hAnsi="黑体" w:eastAsia="黑体" w:cs="Times New Roman"/>
          <w:b/>
          <w:color w:val="000000" w:themeColor="text1"/>
          <w:spacing w:val="4"/>
          <w:sz w:val="32"/>
          <w:szCs w:val="32"/>
          <w:highlight w:val="none"/>
        </w:rPr>
        <w:t>七、其他重要事项的情况</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（一）国有资产占用情况说明</w:t>
      </w:r>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截至2018年12月31日，单位共有车辆2辆，价值19.21万元，其中：</w:t>
      </w:r>
      <w:r>
        <w:rPr>
          <w:rFonts w:hint="eastAsia" w:ascii="仿宋_GB2312" w:hAnsi="宋体" w:eastAsia="仿宋_GB2312"/>
          <w:sz w:val="32"/>
          <w:szCs w:val="32"/>
          <w:highlight w:val="none"/>
        </w:rPr>
        <w:t>副部（省）级及以上领导用车0辆</w:t>
      </w:r>
      <w:r>
        <w:rPr>
          <w:rFonts w:hint="eastAsia" w:ascii="仿宋_GB2312" w:eastAsia="仿宋_GB2312"/>
          <w:sz w:val="32"/>
          <w:szCs w:val="32"/>
          <w:highlight w:val="none"/>
        </w:rPr>
        <w:t>、主要领导干部用车0辆、机要通信用车0辆、应急保障用车0辆、执法执勤用车0辆、特种专业技术用车0辆、离退休干部用车0辆、其他用车2辆，</w:t>
      </w:r>
      <w:r>
        <w:rPr>
          <w:rFonts w:eastAsia="仿宋_GB2312"/>
          <w:spacing w:val="4"/>
          <w:sz w:val="32"/>
          <w:szCs w:val="32"/>
          <w:highlight w:val="none"/>
        </w:rPr>
        <w:t>其他用车主要是：</w:t>
      </w:r>
      <w:r>
        <w:rPr>
          <w:rFonts w:hint="eastAsia" w:eastAsia="仿宋_GB2312"/>
          <w:spacing w:val="4"/>
          <w:sz w:val="32"/>
          <w:szCs w:val="32"/>
          <w:highlight w:val="none"/>
        </w:rPr>
        <w:t>一般公务用车</w:t>
      </w:r>
      <w:r>
        <w:rPr>
          <w:rFonts w:hint="eastAsia" w:ascii="仿宋_GB2312" w:eastAsia="仿宋_GB2312"/>
          <w:sz w:val="32"/>
          <w:szCs w:val="32"/>
          <w:highlight w:val="none"/>
        </w:rPr>
        <w:t>；单位价值50万元以上通用设备0台（套）、单位价值100万元以上专用设备0台（套）。</w:t>
      </w:r>
    </w:p>
    <w:p>
      <w:pPr>
        <w:keepNext w:val="0"/>
        <w:keepLines w:val="0"/>
        <w:pageBreakBefore w:val="0"/>
        <w:kinsoku/>
        <w:wordWrap/>
        <w:overflowPunct/>
        <w:topLinePunct w:val="0"/>
        <w:autoSpaceDE/>
        <w:autoSpaceDN/>
        <w:bidi w:val="0"/>
        <w:adjustRightInd/>
        <w:snapToGrid/>
        <w:spacing w:after="0" w:line="600" w:lineRule="exact"/>
        <w:ind w:firstLine="659" w:firstLineChars="200"/>
        <w:textAlignment w:val="auto"/>
        <w:rPr>
          <w:rFonts w:ascii="Times New Roman" w:hAnsi="Times New Roman" w:eastAsia="楷体_GB2312" w:cs="Times New Roman"/>
          <w:b/>
          <w:bCs/>
          <w:spacing w:val="4"/>
          <w:sz w:val="32"/>
          <w:szCs w:val="32"/>
          <w:highlight w:val="none"/>
        </w:rPr>
      </w:pPr>
      <w:r>
        <w:rPr>
          <w:rFonts w:ascii="Times New Roman" w:hAnsi="Times New Roman" w:eastAsia="楷体_GB2312" w:cs="Times New Roman"/>
          <w:b/>
          <w:bCs/>
          <w:spacing w:val="4"/>
          <w:sz w:val="32"/>
          <w:szCs w:val="32"/>
          <w:highlight w:val="none"/>
        </w:rPr>
        <w:t>（二）预算绩效情况的说明</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1.2018年度，本部门单位预算绩效自评情况：自述有关预算绩效管理和绩效自评开展情况。居民健康体检补助经费171万元项目绩效自评综述：根据年初设定的绩效目标，居民健康体检补助经费项目绩效自评得分为95分。项目全年预算数为172万元，执行数为171万元，完成预算的99%。</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主要产出和效果：凡是缴纳基本医疗保险的职工和居民均能享受全面免费体检，效果完成良好。</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发现的问题及原因：农牧民防病意识不强，进一步加大宣传力度。</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下一步改进措施：项目负责人和财务人员及时核算所需资金额度，按相关承担比例要求及时向县财政申请资金的拨付，确保及时</w:t>
      </w:r>
      <w:r>
        <w:rPr>
          <w:rFonts w:hint="eastAsia" w:ascii="仿宋_GB2312" w:hAnsi="Times New Roman" w:eastAsia="仿宋_GB2312" w:cs="Times New Roman"/>
          <w:kern w:val="2"/>
          <w:sz w:val="32"/>
          <w:szCs w:val="32"/>
          <w:highlight w:val="none"/>
          <w:lang w:eastAsia="zh-CN"/>
        </w:rPr>
        <w:t>有效地将</w:t>
      </w:r>
      <w:r>
        <w:rPr>
          <w:rFonts w:ascii="仿宋_GB2312" w:hAnsi="Times New Roman" w:eastAsia="仿宋_GB2312" w:cs="Times New Roman"/>
          <w:kern w:val="2"/>
          <w:sz w:val="32"/>
          <w:szCs w:val="32"/>
          <w:highlight w:val="none"/>
        </w:rPr>
        <w:t>当年的资金发放到老百姓手中，进一步提高百姓的满意度.</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后附项目支出绩效自评报告及自评表。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2.1.</w:t>
      </w:r>
      <w:r>
        <w:rPr>
          <w:rFonts w:ascii="仿宋_GB2312" w:hAnsi="Times New Roman" w:eastAsia="仿宋_GB2312" w:cs="Times New Roman"/>
          <w:kern w:val="2"/>
          <w:sz w:val="32"/>
          <w:szCs w:val="32"/>
          <w:highlight w:val="none"/>
        </w:rPr>
        <w:t>2018年度，本部门单位预算绩效自评情况：自述有关预算绩效管理和绩效自评开展情况。</w:t>
      </w:r>
      <w:r>
        <w:rPr>
          <w:rFonts w:hint="eastAsia" w:ascii="仿宋_GB2312" w:hAnsi="Times New Roman" w:eastAsia="仿宋_GB2312" w:cs="Times New Roman"/>
          <w:kern w:val="2"/>
          <w:sz w:val="32"/>
          <w:szCs w:val="32"/>
          <w:highlight w:val="none"/>
        </w:rPr>
        <w:t>城乡居民医疗保险县级配套资金718.37万元</w:t>
      </w:r>
      <w:r>
        <w:rPr>
          <w:rFonts w:ascii="仿宋_GB2312" w:hAnsi="Times New Roman" w:eastAsia="仿宋_GB2312" w:cs="Times New Roman"/>
          <w:kern w:val="2"/>
          <w:sz w:val="32"/>
          <w:szCs w:val="32"/>
          <w:highlight w:val="none"/>
        </w:rPr>
        <w:t>项目绩效自评综述：根据年初设定的绩效目标，</w:t>
      </w:r>
      <w:r>
        <w:rPr>
          <w:rFonts w:hint="eastAsia" w:ascii="仿宋_GB2312" w:hAnsi="Times New Roman" w:eastAsia="仿宋_GB2312" w:cs="Times New Roman"/>
          <w:kern w:val="2"/>
          <w:sz w:val="32"/>
          <w:szCs w:val="32"/>
          <w:highlight w:val="none"/>
        </w:rPr>
        <w:t>城乡居民医疗县级配套资金</w:t>
      </w:r>
      <w:r>
        <w:rPr>
          <w:rFonts w:ascii="仿宋_GB2312" w:hAnsi="Times New Roman" w:eastAsia="仿宋_GB2312" w:cs="Times New Roman"/>
          <w:kern w:val="2"/>
          <w:sz w:val="32"/>
          <w:szCs w:val="32"/>
          <w:highlight w:val="none"/>
        </w:rPr>
        <w:t>项目绩效自评得分为</w:t>
      </w:r>
      <w:r>
        <w:rPr>
          <w:rFonts w:hint="eastAsia" w:ascii="仿宋_GB2312" w:hAnsi="Times New Roman" w:eastAsia="仿宋_GB2312" w:cs="Times New Roman"/>
          <w:kern w:val="2"/>
          <w:sz w:val="32"/>
          <w:szCs w:val="32"/>
          <w:highlight w:val="none"/>
        </w:rPr>
        <w:t>100</w:t>
      </w:r>
      <w:r>
        <w:rPr>
          <w:rFonts w:ascii="仿宋_GB2312" w:hAnsi="Times New Roman" w:eastAsia="仿宋_GB2312" w:cs="Times New Roman"/>
          <w:kern w:val="2"/>
          <w:sz w:val="32"/>
          <w:szCs w:val="32"/>
          <w:highlight w:val="none"/>
        </w:rPr>
        <w:t>分。项目全年预算数为</w:t>
      </w:r>
      <w:r>
        <w:rPr>
          <w:rFonts w:hint="eastAsia" w:ascii="仿宋_GB2312" w:hAnsi="Times New Roman" w:eastAsia="仿宋_GB2312" w:cs="Times New Roman"/>
          <w:kern w:val="2"/>
          <w:sz w:val="32"/>
          <w:szCs w:val="32"/>
          <w:highlight w:val="none"/>
        </w:rPr>
        <w:t>718.37</w:t>
      </w:r>
      <w:r>
        <w:rPr>
          <w:rFonts w:hint="eastAsia" w:ascii="仿宋_GB2312" w:hAnsi="Times New Roman" w:eastAsia="仿宋_GB2312" w:cs="Times New Roman"/>
          <w:kern w:val="2"/>
          <w:sz w:val="32"/>
          <w:szCs w:val="32"/>
          <w:highlight w:val="none"/>
          <w:lang w:eastAsia="zh-CN"/>
        </w:rPr>
        <w:t>万元</w:t>
      </w:r>
      <w:r>
        <w:rPr>
          <w:rFonts w:ascii="仿宋_GB2312" w:hAnsi="Times New Roman" w:eastAsia="仿宋_GB2312" w:cs="Times New Roman"/>
          <w:kern w:val="2"/>
          <w:sz w:val="32"/>
          <w:szCs w:val="32"/>
          <w:highlight w:val="none"/>
        </w:rPr>
        <w:t>，执行数为</w:t>
      </w:r>
      <w:r>
        <w:rPr>
          <w:rFonts w:hint="eastAsia" w:ascii="仿宋_GB2312" w:hAnsi="Times New Roman" w:eastAsia="仿宋_GB2312" w:cs="Times New Roman"/>
          <w:kern w:val="2"/>
          <w:sz w:val="32"/>
          <w:szCs w:val="32"/>
          <w:highlight w:val="none"/>
        </w:rPr>
        <w:t>718.37</w:t>
      </w:r>
      <w:r>
        <w:rPr>
          <w:rFonts w:ascii="仿宋_GB2312" w:hAnsi="Times New Roman" w:eastAsia="仿宋_GB2312" w:cs="Times New Roman"/>
          <w:kern w:val="2"/>
          <w:sz w:val="32"/>
          <w:szCs w:val="32"/>
          <w:highlight w:val="none"/>
        </w:rPr>
        <w:t>万元，完成预算的</w:t>
      </w:r>
      <w:r>
        <w:rPr>
          <w:rFonts w:hint="eastAsia" w:ascii="仿宋_GB2312" w:hAnsi="Times New Roman" w:eastAsia="仿宋_GB2312" w:cs="Times New Roman"/>
          <w:kern w:val="2"/>
          <w:sz w:val="32"/>
          <w:szCs w:val="32"/>
          <w:highlight w:val="none"/>
        </w:rPr>
        <w:t>100</w:t>
      </w:r>
      <w:r>
        <w:rPr>
          <w:rFonts w:ascii="仿宋_GB2312" w:hAnsi="Times New Roman" w:eastAsia="仿宋_GB2312" w:cs="Times New Roman"/>
          <w:kern w:val="2"/>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主要产出和效果：凡是缴纳</w:t>
      </w:r>
      <w:r>
        <w:rPr>
          <w:rFonts w:hint="eastAsia" w:ascii="仿宋_GB2312" w:hAnsi="Times New Roman" w:eastAsia="仿宋_GB2312" w:cs="Times New Roman"/>
          <w:kern w:val="2"/>
          <w:sz w:val="32"/>
          <w:szCs w:val="32"/>
          <w:highlight w:val="none"/>
        </w:rPr>
        <w:t>城乡居民医疗金居民都可以享受城乡居民医疗县级补助金</w:t>
      </w:r>
      <w:r>
        <w:rPr>
          <w:rFonts w:ascii="仿宋_GB2312" w:hAnsi="Times New Roman" w:eastAsia="仿宋_GB2312" w:cs="Times New Roman"/>
          <w:kern w:val="2"/>
          <w:sz w:val="32"/>
          <w:szCs w:val="32"/>
          <w:highlight w:val="none"/>
        </w:rPr>
        <w:t>，</w:t>
      </w:r>
      <w:r>
        <w:rPr>
          <w:rFonts w:hint="eastAsia" w:ascii="仿宋_GB2312" w:hAnsi="Times New Roman" w:eastAsia="仿宋_GB2312" w:cs="Times New Roman"/>
          <w:kern w:val="2"/>
          <w:sz w:val="32"/>
          <w:szCs w:val="32"/>
          <w:highlight w:val="none"/>
        </w:rPr>
        <w:t>按时完成任务</w:t>
      </w:r>
      <w:r>
        <w:rPr>
          <w:rFonts w:ascii="仿宋_GB2312" w:hAnsi="Times New Roman" w:eastAsia="仿宋_GB2312" w:cs="Times New Roman"/>
          <w:kern w:val="2"/>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发现的问题及原因：农牧民</w:t>
      </w:r>
      <w:r>
        <w:rPr>
          <w:rFonts w:hint="eastAsia" w:ascii="仿宋_GB2312" w:hAnsi="Times New Roman" w:eastAsia="仿宋_GB2312" w:cs="Times New Roman"/>
          <w:kern w:val="2"/>
          <w:sz w:val="32"/>
          <w:szCs w:val="32"/>
          <w:highlight w:val="none"/>
        </w:rPr>
        <w:t>缴纳城乡居民医疗保险费意识</w:t>
      </w:r>
      <w:r>
        <w:rPr>
          <w:rFonts w:ascii="仿宋_GB2312" w:hAnsi="Times New Roman" w:eastAsia="仿宋_GB2312" w:cs="Times New Roman"/>
          <w:kern w:val="2"/>
          <w:sz w:val="32"/>
          <w:szCs w:val="32"/>
          <w:highlight w:val="none"/>
        </w:rPr>
        <w:t>不强，进一步加大宣传力度。</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下一步改进措施：项目负责人和财务人员及时核算所需资金额度，按相关承担比例要求及时向县财政申请资金的拨付，确保及时</w:t>
      </w:r>
      <w:r>
        <w:rPr>
          <w:rFonts w:hint="eastAsia" w:ascii="仿宋_GB2312" w:hAnsi="Times New Roman" w:eastAsia="仿宋_GB2312" w:cs="Times New Roman"/>
          <w:kern w:val="2"/>
          <w:sz w:val="32"/>
          <w:szCs w:val="32"/>
          <w:highlight w:val="none"/>
          <w:lang w:eastAsia="zh-CN"/>
        </w:rPr>
        <w:t>有效地将</w:t>
      </w:r>
      <w:r>
        <w:rPr>
          <w:rFonts w:ascii="仿宋_GB2312" w:hAnsi="Times New Roman" w:eastAsia="仿宋_GB2312" w:cs="Times New Roman"/>
          <w:kern w:val="2"/>
          <w:sz w:val="32"/>
          <w:szCs w:val="32"/>
          <w:highlight w:val="none"/>
        </w:rPr>
        <w:t>当年的资金发放到老百姓手中，进一步提高百姓的满意</w:t>
      </w:r>
      <w:r>
        <w:rPr>
          <w:rFonts w:hint="eastAsia" w:ascii="仿宋_GB2312" w:hAnsi="Times New Roman" w:eastAsia="仿宋_GB2312" w:cs="Times New Roman"/>
          <w:kern w:val="2"/>
          <w:sz w:val="32"/>
          <w:szCs w:val="32"/>
          <w:highlight w:val="none"/>
        </w:rPr>
        <w:t>度，让更多的群众享受城乡居民医疗补助金。</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后附项目支出绩效自评报告及自评表。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3.</w:t>
      </w:r>
      <w:r>
        <w:rPr>
          <w:rFonts w:ascii="仿宋_GB2312" w:hAnsi="Times New Roman" w:eastAsia="仿宋_GB2312" w:cs="Times New Roman"/>
          <w:kern w:val="2"/>
          <w:sz w:val="32"/>
          <w:szCs w:val="32"/>
          <w:highlight w:val="none"/>
        </w:rPr>
        <w:t>2018年度，本部门单位预算绩效自评情况：自述有关预算绩效管理和绩效自评开展情况。</w:t>
      </w:r>
      <w:r>
        <w:rPr>
          <w:rFonts w:hint="eastAsia" w:ascii="仿宋_GB2312" w:hAnsi="Times New Roman" w:eastAsia="仿宋_GB2312" w:cs="Times New Roman"/>
          <w:kern w:val="2"/>
          <w:sz w:val="32"/>
          <w:szCs w:val="32"/>
          <w:highlight w:val="none"/>
        </w:rPr>
        <w:t>低保特困人员居民医疗补助金268.49万元</w:t>
      </w:r>
      <w:r>
        <w:rPr>
          <w:rFonts w:ascii="仿宋_GB2312" w:hAnsi="Times New Roman" w:eastAsia="仿宋_GB2312" w:cs="Times New Roman"/>
          <w:kern w:val="2"/>
          <w:sz w:val="32"/>
          <w:szCs w:val="32"/>
          <w:highlight w:val="none"/>
        </w:rPr>
        <w:t>项目绩效自评综述：根据年初设定的绩效目标，</w:t>
      </w:r>
      <w:r>
        <w:rPr>
          <w:rFonts w:hint="eastAsia" w:ascii="仿宋_GB2312" w:hAnsi="Times New Roman" w:eastAsia="仿宋_GB2312" w:cs="Times New Roman"/>
          <w:kern w:val="2"/>
          <w:sz w:val="32"/>
          <w:szCs w:val="32"/>
          <w:highlight w:val="none"/>
        </w:rPr>
        <w:t>财政代缴城乡居民医疗，养老保险补助金</w:t>
      </w:r>
      <w:r>
        <w:rPr>
          <w:rFonts w:ascii="仿宋_GB2312" w:hAnsi="Times New Roman" w:eastAsia="仿宋_GB2312" w:cs="Times New Roman"/>
          <w:kern w:val="2"/>
          <w:sz w:val="32"/>
          <w:szCs w:val="32"/>
          <w:highlight w:val="none"/>
        </w:rPr>
        <w:t>项目绩效自评得分为</w:t>
      </w:r>
      <w:r>
        <w:rPr>
          <w:rFonts w:hint="eastAsia" w:ascii="仿宋_GB2312" w:hAnsi="Times New Roman" w:eastAsia="仿宋_GB2312" w:cs="Times New Roman"/>
          <w:kern w:val="2"/>
          <w:sz w:val="32"/>
          <w:szCs w:val="32"/>
          <w:highlight w:val="none"/>
        </w:rPr>
        <w:t>100</w:t>
      </w:r>
      <w:r>
        <w:rPr>
          <w:rFonts w:ascii="仿宋_GB2312" w:hAnsi="Times New Roman" w:eastAsia="仿宋_GB2312" w:cs="Times New Roman"/>
          <w:kern w:val="2"/>
          <w:sz w:val="32"/>
          <w:szCs w:val="32"/>
          <w:highlight w:val="none"/>
        </w:rPr>
        <w:t>分。项目全年预算数为</w:t>
      </w:r>
      <w:r>
        <w:rPr>
          <w:rFonts w:hint="eastAsia" w:ascii="仿宋_GB2312" w:hAnsi="Times New Roman" w:eastAsia="仿宋_GB2312" w:cs="Times New Roman"/>
          <w:kern w:val="2"/>
          <w:sz w:val="32"/>
          <w:szCs w:val="32"/>
          <w:highlight w:val="none"/>
        </w:rPr>
        <w:t>268.49</w:t>
      </w:r>
      <w:r>
        <w:rPr>
          <w:rFonts w:ascii="仿宋_GB2312" w:hAnsi="Times New Roman" w:eastAsia="仿宋_GB2312" w:cs="Times New Roman"/>
          <w:kern w:val="2"/>
          <w:sz w:val="32"/>
          <w:szCs w:val="32"/>
          <w:highlight w:val="none"/>
        </w:rPr>
        <w:t>万元，执行数为</w:t>
      </w:r>
      <w:r>
        <w:rPr>
          <w:rFonts w:hint="eastAsia" w:ascii="仿宋_GB2312" w:hAnsi="Times New Roman" w:eastAsia="仿宋_GB2312" w:cs="Times New Roman"/>
          <w:kern w:val="2"/>
          <w:sz w:val="32"/>
          <w:szCs w:val="32"/>
          <w:highlight w:val="none"/>
        </w:rPr>
        <w:t>268.49</w:t>
      </w:r>
      <w:r>
        <w:rPr>
          <w:rFonts w:ascii="仿宋_GB2312" w:hAnsi="Times New Roman" w:eastAsia="仿宋_GB2312" w:cs="Times New Roman"/>
          <w:kern w:val="2"/>
          <w:sz w:val="32"/>
          <w:szCs w:val="32"/>
          <w:highlight w:val="none"/>
        </w:rPr>
        <w:t>万元，完成预算的</w:t>
      </w:r>
      <w:r>
        <w:rPr>
          <w:rFonts w:hint="eastAsia" w:ascii="仿宋_GB2312" w:hAnsi="Times New Roman" w:eastAsia="仿宋_GB2312" w:cs="Times New Roman"/>
          <w:kern w:val="2"/>
          <w:sz w:val="32"/>
          <w:szCs w:val="32"/>
          <w:highlight w:val="none"/>
        </w:rPr>
        <w:t>100</w:t>
      </w:r>
      <w:r>
        <w:rPr>
          <w:rFonts w:ascii="仿宋_GB2312" w:hAnsi="Times New Roman" w:eastAsia="仿宋_GB2312" w:cs="Times New Roman"/>
          <w:kern w:val="2"/>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主要产出和效果：</w:t>
      </w:r>
      <w:r>
        <w:rPr>
          <w:rFonts w:hint="eastAsia" w:ascii="仿宋_GB2312" w:hAnsi="Times New Roman" w:eastAsia="仿宋_GB2312" w:cs="Times New Roman"/>
          <w:kern w:val="2"/>
          <w:sz w:val="32"/>
          <w:szCs w:val="32"/>
          <w:highlight w:val="none"/>
        </w:rPr>
        <w:t>财政代缴建档立卡贫困人员养老，医疗</w:t>
      </w:r>
      <w:r>
        <w:rPr>
          <w:rFonts w:ascii="仿宋_GB2312" w:hAnsi="Times New Roman" w:eastAsia="仿宋_GB2312" w:cs="Times New Roman"/>
          <w:kern w:val="2"/>
          <w:sz w:val="32"/>
          <w:szCs w:val="32"/>
          <w:highlight w:val="none"/>
        </w:rPr>
        <w:t>，</w:t>
      </w:r>
      <w:r>
        <w:rPr>
          <w:rFonts w:hint="eastAsia" w:ascii="仿宋_GB2312" w:hAnsi="Times New Roman" w:eastAsia="仿宋_GB2312" w:cs="Times New Roman"/>
          <w:kern w:val="2"/>
          <w:sz w:val="32"/>
          <w:szCs w:val="32"/>
          <w:highlight w:val="none"/>
        </w:rPr>
        <w:t>保险缴纳人数为9237人员，任务按时完成</w:t>
      </w:r>
      <w:r>
        <w:rPr>
          <w:rFonts w:ascii="仿宋_GB2312" w:hAnsi="Times New Roman" w:eastAsia="仿宋_GB2312" w:cs="Times New Roman"/>
          <w:kern w:val="2"/>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发现的问题及原因：</w:t>
      </w:r>
      <w:r>
        <w:rPr>
          <w:rFonts w:hint="eastAsia" w:ascii="仿宋_GB2312" w:hAnsi="Times New Roman" w:eastAsia="仿宋_GB2312" w:cs="Times New Roman"/>
          <w:kern w:val="2"/>
          <w:sz w:val="32"/>
          <w:szCs w:val="32"/>
          <w:highlight w:val="none"/>
        </w:rPr>
        <w:t>建档立卡贫困人员财政代缴政策需要加强，有自己缴纳的情况</w:t>
      </w:r>
      <w:r>
        <w:rPr>
          <w:rFonts w:ascii="仿宋_GB2312" w:hAnsi="Times New Roman" w:eastAsia="仿宋_GB2312" w:cs="Times New Roman"/>
          <w:kern w:val="2"/>
          <w:sz w:val="32"/>
          <w:szCs w:val="32"/>
          <w:highlight w:val="none"/>
        </w:rPr>
        <w:t>，</w:t>
      </w:r>
      <w:r>
        <w:rPr>
          <w:rFonts w:hint="eastAsia" w:ascii="仿宋_GB2312" w:hAnsi="Times New Roman" w:eastAsia="仿宋_GB2312" w:cs="Times New Roman"/>
          <w:kern w:val="2"/>
          <w:sz w:val="32"/>
          <w:szCs w:val="32"/>
          <w:highlight w:val="none"/>
        </w:rPr>
        <w:t>还待</w:t>
      </w:r>
      <w:r>
        <w:rPr>
          <w:rFonts w:ascii="仿宋_GB2312" w:hAnsi="Times New Roman" w:eastAsia="仿宋_GB2312" w:cs="Times New Roman"/>
          <w:kern w:val="2"/>
          <w:sz w:val="32"/>
          <w:szCs w:val="32"/>
          <w:highlight w:val="none"/>
        </w:rPr>
        <w:t>进一步加大宣传力度。</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ascii="仿宋_GB2312" w:hAnsi="Times New Roman" w:eastAsia="仿宋_GB2312" w:cs="Times New Roman"/>
          <w:kern w:val="2"/>
          <w:sz w:val="32"/>
          <w:szCs w:val="32"/>
          <w:highlight w:val="none"/>
        </w:rPr>
        <w:t>下一步改进措施：项目负责人和财务人员及时核算所需资金额度，按相关承担比例要求及时向县财政申请资金的拨付，</w:t>
      </w:r>
      <w:r>
        <w:rPr>
          <w:rFonts w:hint="eastAsia" w:ascii="仿宋_GB2312" w:hAnsi="Times New Roman" w:eastAsia="仿宋_GB2312" w:cs="Times New Roman"/>
          <w:kern w:val="2"/>
          <w:sz w:val="32"/>
          <w:szCs w:val="32"/>
          <w:highlight w:val="none"/>
        </w:rPr>
        <w:t>加强宣传政策内容，</w:t>
      </w:r>
      <w:r>
        <w:rPr>
          <w:rFonts w:ascii="仿宋_GB2312" w:hAnsi="Times New Roman" w:eastAsia="仿宋_GB2312" w:cs="Times New Roman"/>
          <w:kern w:val="2"/>
          <w:sz w:val="32"/>
          <w:szCs w:val="32"/>
          <w:highlight w:val="none"/>
        </w:rPr>
        <w:t>确保及时</w:t>
      </w:r>
      <w:r>
        <w:rPr>
          <w:rFonts w:hint="eastAsia" w:ascii="仿宋_GB2312" w:hAnsi="Times New Roman" w:eastAsia="仿宋_GB2312" w:cs="Times New Roman"/>
          <w:kern w:val="2"/>
          <w:sz w:val="32"/>
          <w:szCs w:val="32"/>
          <w:highlight w:val="none"/>
          <w:lang w:eastAsia="zh-CN"/>
        </w:rPr>
        <w:t>有效地将</w:t>
      </w:r>
      <w:r>
        <w:rPr>
          <w:rFonts w:ascii="仿宋_GB2312" w:hAnsi="Times New Roman" w:eastAsia="仿宋_GB2312" w:cs="Times New Roman"/>
          <w:kern w:val="2"/>
          <w:sz w:val="32"/>
          <w:szCs w:val="32"/>
          <w:highlight w:val="none"/>
        </w:rPr>
        <w:t>当年的资金发放到老百姓手中，进一步提高百姓的满意度</w:t>
      </w:r>
      <w:r>
        <w:rPr>
          <w:rFonts w:hint="eastAsia" w:ascii="仿宋_GB2312" w:hAnsi="Times New Roman" w:eastAsia="仿宋_GB2312" w:cs="Times New Roman"/>
          <w:kern w:val="2"/>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后附项目支出绩效自评报告及自评表。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ascii="仿宋_GB2312" w:hAnsi="Times New Roman" w:eastAsia="仿宋_GB2312" w:cs="Times New Roman"/>
          <w:kern w:val="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ascii="黑体" w:hAnsi="黑体" w:eastAsia="黑体" w:cs="Times New Roman"/>
          <w:kern w:val="2"/>
          <w:sz w:val="32"/>
          <w:szCs w:val="32"/>
          <w:highlight w:val="none"/>
        </w:rPr>
      </w:pPr>
      <w:r>
        <w:rPr>
          <w:rFonts w:ascii="黑体" w:hAnsi="黑体" w:eastAsia="黑体" w:cs="Times New Roman"/>
          <w:kern w:val="2"/>
          <w:sz w:val="32"/>
          <w:szCs w:val="32"/>
          <w:highlight w:val="none"/>
        </w:rPr>
        <w:t>第三部分专业名词解释</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财政拨款收入：指同级财政当年拨付的资金。</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上级补助收入：指事业单位从主管部门和上级单位取得的非财政补助收入。</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事业收入：指事业单位开展专业业务活动及其辅助活动所取得的收入。</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经营收入：指事业单位在专业业务活动及其辅助活动之外开展非独立核算经营活动取得的收入。</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附属单位缴款：指事业单位附属的独立核算单位按有关规定上缴的收入。</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其他收入：指除上述“财政拨款收入”、“事业收入”、“经营收入”、“附属单位缴款”等之外取得的收入。</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结余分配：反映单位当年结余的分配情况。</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基本支出：指为保障机构正常运转、完成日常工作任务而发生的人员支出和公用支出。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项目支出：指在基本支出之外为完成特定行政任务和事业发展目标所发生的支出。</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经营支出：指事业单位在专业业务活动及其辅助活动之外开展非独立核算经营活动发生的支出。</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对附属单位补助支出：指事业单位发生的用非财政预算资金对附属单位的补助支出。</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本单位支出功能分类说明。208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01（款）09（项） 社会保险经办机构</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 xml:space="preserve"> 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05（款）01（项） 归口管理的行政单位离退休；208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05（款）05（项）机关事业单位基本养老保险缴费支出；208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05（款）07（项） 对机关事业单位基本养老保险基金的补助；208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06（款）01（项）企业关闭破产补助；208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06（款）99（项） 其他企业改革发展补助；208</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26（款）02（项） 财政对城乡居民基本养老保险基金的补助；210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01（款）99（项） 其他医疗卫生与计划生育管理事务支出；210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11（款）01（项）行政单位医疗；210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11（款）03（项）公务员医疗补助；210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12（款）04（项）财政对城镇居民基本医疗保险基金的补助；210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12（款）99（项） 财政对其他基本医疗保险基金的补助；210</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13（款）01（项）城乡医疗救助；213</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05（款）99（项） 其他扶贫支出；221</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类</w:t>
      </w:r>
      <w:r>
        <w:rPr>
          <w:rFonts w:hint="eastAsia" w:ascii="仿宋_GB2312" w:hAnsi="Times New Roman" w:eastAsia="仿宋_GB2312" w:cs="Times New Roman"/>
          <w:spacing w:val="4"/>
          <w:sz w:val="32"/>
          <w:szCs w:val="32"/>
          <w:highlight w:val="none"/>
          <w:lang w:eastAsia="zh-CN"/>
        </w:rPr>
        <w:t>）</w:t>
      </w:r>
      <w:r>
        <w:rPr>
          <w:rFonts w:hint="eastAsia" w:ascii="仿宋_GB2312" w:hAnsi="Times New Roman" w:eastAsia="仿宋_GB2312" w:cs="Times New Roman"/>
          <w:spacing w:val="4"/>
          <w:sz w:val="32"/>
          <w:szCs w:val="32"/>
          <w:highlight w:val="none"/>
        </w:rPr>
        <w:t>02（款）01（项） 住房公积金</w:t>
      </w:r>
    </w:p>
    <w:p>
      <w:pPr>
        <w:keepNext w:val="0"/>
        <w:keepLines w:val="0"/>
        <w:pageBreakBefore w:val="0"/>
        <w:kinsoku/>
        <w:wordWrap/>
        <w:overflowPunct/>
        <w:topLinePunct w:val="0"/>
        <w:autoSpaceDE/>
        <w:autoSpaceDN/>
        <w:bidi w:val="0"/>
        <w:spacing w:line="600" w:lineRule="exact"/>
        <w:ind w:firstLine="656" w:firstLineChars="200"/>
        <w:jc w:val="center"/>
        <w:textAlignment w:val="auto"/>
        <w:rPr>
          <w:rFonts w:ascii="仿宋_GB2312" w:hAnsi="Times New Roman" w:eastAsia="仿宋_GB2312" w:cs="Times New Roman"/>
          <w:spacing w:val="4"/>
          <w:sz w:val="32"/>
          <w:szCs w:val="32"/>
          <w:highlight w:val="none"/>
        </w:rPr>
      </w:pPr>
    </w:p>
    <w:p>
      <w:pPr>
        <w:keepNext w:val="0"/>
        <w:keepLines w:val="0"/>
        <w:pageBreakBefore w:val="0"/>
        <w:kinsoku/>
        <w:wordWrap/>
        <w:overflowPunct/>
        <w:topLinePunct w:val="0"/>
        <w:autoSpaceDE/>
        <w:autoSpaceDN/>
        <w:bidi w:val="0"/>
        <w:spacing w:line="600" w:lineRule="exact"/>
        <w:ind w:firstLine="656" w:firstLineChars="200"/>
        <w:jc w:val="center"/>
        <w:textAlignment w:val="auto"/>
        <w:rPr>
          <w:rFonts w:ascii="黑体" w:hAnsi="黑体" w:eastAsia="黑体" w:cs="黑体"/>
          <w:spacing w:val="4"/>
          <w:sz w:val="32"/>
          <w:szCs w:val="32"/>
          <w:highlight w:val="none"/>
        </w:rPr>
      </w:pPr>
      <w:r>
        <w:rPr>
          <w:rFonts w:hint="eastAsia" w:ascii="黑体" w:hAnsi="黑体" w:eastAsia="黑体" w:cs="黑体"/>
          <w:spacing w:val="4"/>
          <w:sz w:val="32"/>
          <w:szCs w:val="32"/>
          <w:highlight w:val="none"/>
        </w:rPr>
        <w:t>第四部分 部门决算公开的8张报表（见附表）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一、《收入支出决算总表》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二、《收入决算表》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三、《支出决算表》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四、《财政拨款收入支出决算总表》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五、《一般公共预算财政拨款支出决算表》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六、《一般公共预算财政拨款基本支出决算表》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七、《一般公共预算财政拨款“三公”经费支出决算表》</w:t>
      </w:r>
    </w:p>
    <w:p>
      <w:pPr>
        <w:keepNext w:val="0"/>
        <w:keepLines w:val="0"/>
        <w:pageBreakBefore w:val="0"/>
        <w:kinsoku/>
        <w:wordWrap/>
        <w:overflowPunct/>
        <w:topLinePunct w:val="0"/>
        <w:autoSpaceDE/>
        <w:autoSpaceDN/>
        <w:bidi w:val="0"/>
        <w:spacing w:after="0" w:line="600" w:lineRule="exact"/>
        <w:ind w:firstLine="656" w:firstLineChars="200"/>
        <w:textAlignment w:val="auto"/>
        <w:rPr>
          <w:rFonts w:ascii="仿宋_GB2312" w:hAnsi="Times New Roman" w:eastAsia="仿宋_GB2312" w:cs="Times New Roman"/>
          <w:spacing w:val="4"/>
          <w:sz w:val="32"/>
          <w:szCs w:val="32"/>
          <w:highlight w:val="none"/>
        </w:rPr>
      </w:pPr>
      <w:r>
        <w:rPr>
          <w:rFonts w:hint="eastAsia" w:ascii="仿宋_GB2312" w:hAnsi="Times New Roman" w:eastAsia="仿宋_GB2312" w:cs="Times New Roman"/>
          <w:spacing w:val="4"/>
          <w:sz w:val="32"/>
          <w:szCs w:val="32"/>
          <w:highlight w:val="none"/>
        </w:rPr>
        <w:t>八、《政府性基金预算财政拨款收入支出决算表》</w:t>
      </w:r>
    </w:p>
    <w:p>
      <w:pPr>
        <w:adjustRightInd/>
        <w:snapToGrid/>
        <w:spacing w:after="0" w:line="600" w:lineRule="exact"/>
        <w:ind w:firstLine="656" w:firstLineChars="200"/>
        <w:jc w:val="right"/>
        <w:rPr>
          <w:rFonts w:ascii="Times New Roman" w:hAnsi="Times New Roman" w:cs="Times New Roman"/>
          <w:color w:val="000000" w:themeColor="text1"/>
          <w:spacing w:val="4"/>
          <w:highlight w:val="none"/>
        </w:rPr>
      </w:pPr>
      <w:r>
        <w:rPr>
          <w:rFonts w:hint="eastAsia" w:ascii="Times New Roman" w:hAnsi="Times New Roman" w:eastAsia="仿宋_GB2312" w:cs="Times New Roman"/>
          <w:spacing w:val="4"/>
          <w:sz w:val="32"/>
          <w:szCs w:val="32"/>
          <w:highlight w:val="none"/>
        </w:rPr>
        <w:t> </w:t>
      </w:r>
      <w:r>
        <w:rPr>
          <w:rFonts w:hint="eastAsia" w:ascii="Times New Roman" w:hAnsi="Times New Roman" w:eastAsia="仿宋_GB2312" w:cs="Times New Roman"/>
          <w:spacing w:val="4"/>
          <w:sz w:val="32"/>
          <w:szCs w:val="32"/>
          <w:highlight w:val="none"/>
          <w:lang w:val="en-US" w:eastAsia="zh-CN"/>
        </w:rPr>
        <w:t xml:space="preserve">                                                 </w:t>
      </w:r>
    </w:p>
    <w:sectPr>
      <w:pgSz w:w="11906" w:h="16838"/>
      <w:pgMar w:top="2098" w:right="1531" w:bottom="1985" w:left="1531"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A4E6AD-BA62-4531-B6A0-128151F51E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3275328-5F81-43E9-8327-D05977A3C3DD}"/>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0" w:usb1="00000000" w:usb2="00000000" w:usb3="00000000" w:csb0="00000000" w:csb1="00000000"/>
    <w:embedRegular r:id="rId3" w:fontKey="{42A5DDBF-4740-4033-B48B-9C3A0FF29300}"/>
  </w:font>
  <w:font w:name="方正小标宋_GBK">
    <w:panose1 w:val="03000509000000000000"/>
    <w:charset w:val="86"/>
    <w:family w:val="script"/>
    <w:pitch w:val="default"/>
    <w:sig w:usb0="00000001" w:usb1="080E0000" w:usb2="00000000" w:usb3="00000000" w:csb0="00040000" w:csb1="00000000"/>
    <w:embedRegular r:id="rId4" w:fontKey="{3E11D77E-68F9-467F-8D6A-02998FAB984C}"/>
  </w:font>
  <w:font w:name="方正仿宋_GB2312">
    <w:altName w:val="仿宋"/>
    <w:panose1 w:val="02000000000000000000"/>
    <w:charset w:val="86"/>
    <w:family w:val="auto"/>
    <w:pitch w:val="default"/>
    <w:sig w:usb0="00000000" w:usb1="00000000" w:usb2="00000000" w:usb3="00000000" w:csb0="00000000" w:csb1="00000000"/>
    <w:embedRegular r:id="rId5" w:fontKey="{5B24E639-4F37-4A5B-8791-98CA7730CEED}"/>
  </w:font>
  <w:font w:name="楷体_GB2312">
    <w:panose1 w:val="02010609030101010101"/>
    <w:charset w:val="86"/>
    <w:family w:val="modern"/>
    <w:pitch w:val="default"/>
    <w:sig w:usb0="00000000" w:usb1="00000000" w:usb2="00000000" w:usb3="00000000" w:csb0="00000000" w:csb1="00000000"/>
    <w:embedRegular r:id="rId6" w:fontKey="{F55334B7-8C94-4833-88A1-3D61AEE6673E}"/>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2"/>
  </w:compat>
  <w:rsids>
    <w:rsidRoot w:val="00D31D50"/>
    <w:rsid w:val="0001522F"/>
    <w:rsid w:val="000240D8"/>
    <w:rsid w:val="000406A1"/>
    <w:rsid w:val="000410D9"/>
    <w:rsid w:val="00043C8F"/>
    <w:rsid w:val="00054BCA"/>
    <w:rsid w:val="000806AC"/>
    <w:rsid w:val="000942FA"/>
    <w:rsid w:val="00094340"/>
    <w:rsid w:val="000B155A"/>
    <w:rsid w:val="000D2FD8"/>
    <w:rsid w:val="000E68C9"/>
    <w:rsid w:val="000F5980"/>
    <w:rsid w:val="00101A0C"/>
    <w:rsid w:val="0011764C"/>
    <w:rsid w:val="00122F15"/>
    <w:rsid w:val="001262A1"/>
    <w:rsid w:val="001553C5"/>
    <w:rsid w:val="00155B6B"/>
    <w:rsid w:val="0016761B"/>
    <w:rsid w:val="00175F57"/>
    <w:rsid w:val="001773A1"/>
    <w:rsid w:val="001811AB"/>
    <w:rsid w:val="001A00D6"/>
    <w:rsid w:val="001A113D"/>
    <w:rsid w:val="001A3C5F"/>
    <w:rsid w:val="001C1B39"/>
    <w:rsid w:val="001D117D"/>
    <w:rsid w:val="001D5905"/>
    <w:rsid w:val="001D6C7A"/>
    <w:rsid w:val="001E1104"/>
    <w:rsid w:val="00201024"/>
    <w:rsid w:val="00204212"/>
    <w:rsid w:val="002237F7"/>
    <w:rsid w:val="00227CA2"/>
    <w:rsid w:val="002442CE"/>
    <w:rsid w:val="002445C1"/>
    <w:rsid w:val="00257326"/>
    <w:rsid w:val="00261497"/>
    <w:rsid w:val="002749D7"/>
    <w:rsid w:val="00280895"/>
    <w:rsid w:val="00282779"/>
    <w:rsid w:val="002D6197"/>
    <w:rsid w:val="002E5265"/>
    <w:rsid w:val="00304BF8"/>
    <w:rsid w:val="00305B5B"/>
    <w:rsid w:val="003113CF"/>
    <w:rsid w:val="00323323"/>
    <w:rsid w:val="00323B43"/>
    <w:rsid w:val="00327DBF"/>
    <w:rsid w:val="0036327B"/>
    <w:rsid w:val="00371263"/>
    <w:rsid w:val="0037604A"/>
    <w:rsid w:val="00376B4C"/>
    <w:rsid w:val="00384D21"/>
    <w:rsid w:val="00386CAB"/>
    <w:rsid w:val="00386DED"/>
    <w:rsid w:val="0039787B"/>
    <w:rsid w:val="003A780E"/>
    <w:rsid w:val="003B77C9"/>
    <w:rsid w:val="003C39E4"/>
    <w:rsid w:val="003C5B89"/>
    <w:rsid w:val="003D37D8"/>
    <w:rsid w:val="003E1B51"/>
    <w:rsid w:val="0040142E"/>
    <w:rsid w:val="0042591A"/>
    <w:rsid w:val="00426133"/>
    <w:rsid w:val="004358AB"/>
    <w:rsid w:val="00444F99"/>
    <w:rsid w:val="00450696"/>
    <w:rsid w:val="00454D79"/>
    <w:rsid w:val="00456B58"/>
    <w:rsid w:val="00464680"/>
    <w:rsid w:val="0048226B"/>
    <w:rsid w:val="0048239A"/>
    <w:rsid w:val="00485931"/>
    <w:rsid w:val="00493FD3"/>
    <w:rsid w:val="004970C3"/>
    <w:rsid w:val="004A63FD"/>
    <w:rsid w:val="004C0A27"/>
    <w:rsid w:val="004D069A"/>
    <w:rsid w:val="004D6FA1"/>
    <w:rsid w:val="004E3654"/>
    <w:rsid w:val="004F440E"/>
    <w:rsid w:val="00506A1E"/>
    <w:rsid w:val="0051376C"/>
    <w:rsid w:val="00521E75"/>
    <w:rsid w:val="005236C8"/>
    <w:rsid w:val="00546582"/>
    <w:rsid w:val="005505F7"/>
    <w:rsid w:val="0056697D"/>
    <w:rsid w:val="0057185D"/>
    <w:rsid w:val="005726FC"/>
    <w:rsid w:val="005D1CB8"/>
    <w:rsid w:val="006160FB"/>
    <w:rsid w:val="00617013"/>
    <w:rsid w:val="00623AC1"/>
    <w:rsid w:val="00661E94"/>
    <w:rsid w:val="00664C6B"/>
    <w:rsid w:val="0069384E"/>
    <w:rsid w:val="00696F37"/>
    <w:rsid w:val="006A27D4"/>
    <w:rsid w:val="006A2E1C"/>
    <w:rsid w:val="006B0C91"/>
    <w:rsid w:val="006E09B8"/>
    <w:rsid w:val="006E0F91"/>
    <w:rsid w:val="006E239B"/>
    <w:rsid w:val="006E56C3"/>
    <w:rsid w:val="00703608"/>
    <w:rsid w:val="00745475"/>
    <w:rsid w:val="00747CAD"/>
    <w:rsid w:val="00766EF2"/>
    <w:rsid w:val="007769F0"/>
    <w:rsid w:val="007773A0"/>
    <w:rsid w:val="007B5B0B"/>
    <w:rsid w:val="007D7109"/>
    <w:rsid w:val="00805C1C"/>
    <w:rsid w:val="008308C8"/>
    <w:rsid w:val="0084461D"/>
    <w:rsid w:val="00864D8C"/>
    <w:rsid w:val="008B17E5"/>
    <w:rsid w:val="008B61A4"/>
    <w:rsid w:val="008B7726"/>
    <w:rsid w:val="008C0121"/>
    <w:rsid w:val="008C51AC"/>
    <w:rsid w:val="008C6C2D"/>
    <w:rsid w:val="008D1E76"/>
    <w:rsid w:val="008E6554"/>
    <w:rsid w:val="008F1F47"/>
    <w:rsid w:val="00900F37"/>
    <w:rsid w:val="009038AC"/>
    <w:rsid w:val="009114E8"/>
    <w:rsid w:val="009138EA"/>
    <w:rsid w:val="00945319"/>
    <w:rsid w:val="00955401"/>
    <w:rsid w:val="00982213"/>
    <w:rsid w:val="00983924"/>
    <w:rsid w:val="00993332"/>
    <w:rsid w:val="009A226E"/>
    <w:rsid w:val="009B36A2"/>
    <w:rsid w:val="009C4FA7"/>
    <w:rsid w:val="009C55A3"/>
    <w:rsid w:val="009D0B8B"/>
    <w:rsid w:val="00A421F6"/>
    <w:rsid w:val="00A45DB7"/>
    <w:rsid w:val="00AA613B"/>
    <w:rsid w:val="00AB6C45"/>
    <w:rsid w:val="00AD6246"/>
    <w:rsid w:val="00AE02F0"/>
    <w:rsid w:val="00AF3AC0"/>
    <w:rsid w:val="00B00E1C"/>
    <w:rsid w:val="00B13582"/>
    <w:rsid w:val="00B220EE"/>
    <w:rsid w:val="00B321F5"/>
    <w:rsid w:val="00B3660A"/>
    <w:rsid w:val="00B37AEC"/>
    <w:rsid w:val="00B66359"/>
    <w:rsid w:val="00B70A6C"/>
    <w:rsid w:val="00B70C9D"/>
    <w:rsid w:val="00B70D67"/>
    <w:rsid w:val="00B7527B"/>
    <w:rsid w:val="00B866C3"/>
    <w:rsid w:val="00B87EBA"/>
    <w:rsid w:val="00B97D5B"/>
    <w:rsid w:val="00BC3037"/>
    <w:rsid w:val="00BC4BCB"/>
    <w:rsid w:val="00BD4351"/>
    <w:rsid w:val="00BE52CA"/>
    <w:rsid w:val="00C4322E"/>
    <w:rsid w:val="00C45903"/>
    <w:rsid w:val="00C60FCB"/>
    <w:rsid w:val="00C72C20"/>
    <w:rsid w:val="00C87A02"/>
    <w:rsid w:val="00CA3CCE"/>
    <w:rsid w:val="00CA3F8A"/>
    <w:rsid w:val="00CA5602"/>
    <w:rsid w:val="00CB48C7"/>
    <w:rsid w:val="00CF24FA"/>
    <w:rsid w:val="00D147D1"/>
    <w:rsid w:val="00D20BB3"/>
    <w:rsid w:val="00D27AA1"/>
    <w:rsid w:val="00D31D50"/>
    <w:rsid w:val="00D32404"/>
    <w:rsid w:val="00D34DBB"/>
    <w:rsid w:val="00D55BEB"/>
    <w:rsid w:val="00D77037"/>
    <w:rsid w:val="00D77193"/>
    <w:rsid w:val="00D86B02"/>
    <w:rsid w:val="00D971AD"/>
    <w:rsid w:val="00DA1A8E"/>
    <w:rsid w:val="00DD36C1"/>
    <w:rsid w:val="00E0145A"/>
    <w:rsid w:val="00E034DA"/>
    <w:rsid w:val="00E11C86"/>
    <w:rsid w:val="00E21563"/>
    <w:rsid w:val="00E2626F"/>
    <w:rsid w:val="00E37906"/>
    <w:rsid w:val="00E54F81"/>
    <w:rsid w:val="00E60EB9"/>
    <w:rsid w:val="00E65E83"/>
    <w:rsid w:val="00E6739A"/>
    <w:rsid w:val="00E96360"/>
    <w:rsid w:val="00EA784F"/>
    <w:rsid w:val="00EC060C"/>
    <w:rsid w:val="00EC074E"/>
    <w:rsid w:val="00EC7426"/>
    <w:rsid w:val="00ED4420"/>
    <w:rsid w:val="00ED468E"/>
    <w:rsid w:val="00ED4E4E"/>
    <w:rsid w:val="00EE7E04"/>
    <w:rsid w:val="00EF3B89"/>
    <w:rsid w:val="00F0065A"/>
    <w:rsid w:val="00F0115A"/>
    <w:rsid w:val="00F13126"/>
    <w:rsid w:val="00F31839"/>
    <w:rsid w:val="00F52A81"/>
    <w:rsid w:val="00F55521"/>
    <w:rsid w:val="00F600F7"/>
    <w:rsid w:val="00F619CF"/>
    <w:rsid w:val="00F6683D"/>
    <w:rsid w:val="00F72918"/>
    <w:rsid w:val="00FC2218"/>
    <w:rsid w:val="015B1149"/>
    <w:rsid w:val="01C77A60"/>
    <w:rsid w:val="02DD1506"/>
    <w:rsid w:val="03926083"/>
    <w:rsid w:val="03B7541C"/>
    <w:rsid w:val="056A6BF0"/>
    <w:rsid w:val="05B456FE"/>
    <w:rsid w:val="0645395C"/>
    <w:rsid w:val="09D43A19"/>
    <w:rsid w:val="0EA856B4"/>
    <w:rsid w:val="0F601734"/>
    <w:rsid w:val="0F890B4A"/>
    <w:rsid w:val="0FFC4179"/>
    <w:rsid w:val="1096668C"/>
    <w:rsid w:val="10CB4B0C"/>
    <w:rsid w:val="10EA6150"/>
    <w:rsid w:val="12994E64"/>
    <w:rsid w:val="131C2627"/>
    <w:rsid w:val="13D62FB7"/>
    <w:rsid w:val="13E462A4"/>
    <w:rsid w:val="143D18B9"/>
    <w:rsid w:val="14424115"/>
    <w:rsid w:val="144A238A"/>
    <w:rsid w:val="146273C9"/>
    <w:rsid w:val="14757A2B"/>
    <w:rsid w:val="15DB7D3B"/>
    <w:rsid w:val="16210F06"/>
    <w:rsid w:val="176A645E"/>
    <w:rsid w:val="17A768DF"/>
    <w:rsid w:val="182B4D55"/>
    <w:rsid w:val="19F22F7D"/>
    <w:rsid w:val="1AB00FBF"/>
    <w:rsid w:val="1D56387B"/>
    <w:rsid w:val="1FBF54D1"/>
    <w:rsid w:val="22510ABF"/>
    <w:rsid w:val="227A0D0D"/>
    <w:rsid w:val="227A336B"/>
    <w:rsid w:val="23F0043E"/>
    <w:rsid w:val="25295457"/>
    <w:rsid w:val="2578168F"/>
    <w:rsid w:val="25A261DB"/>
    <w:rsid w:val="25B43BD0"/>
    <w:rsid w:val="26C84A49"/>
    <w:rsid w:val="2805784F"/>
    <w:rsid w:val="284E692B"/>
    <w:rsid w:val="2A3F170C"/>
    <w:rsid w:val="2ABE13B2"/>
    <w:rsid w:val="2B3724CD"/>
    <w:rsid w:val="2BA60605"/>
    <w:rsid w:val="2BAF7DBF"/>
    <w:rsid w:val="2D1B1D51"/>
    <w:rsid w:val="2D49626B"/>
    <w:rsid w:val="2E676F7A"/>
    <w:rsid w:val="2ED368E5"/>
    <w:rsid w:val="2FA869BD"/>
    <w:rsid w:val="308D0EE1"/>
    <w:rsid w:val="32853D38"/>
    <w:rsid w:val="329D4441"/>
    <w:rsid w:val="32E77D24"/>
    <w:rsid w:val="333B6029"/>
    <w:rsid w:val="335809D7"/>
    <w:rsid w:val="348E7446"/>
    <w:rsid w:val="350F27E8"/>
    <w:rsid w:val="35D8543D"/>
    <w:rsid w:val="37B946E7"/>
    <w:rsid w:val="38593C70"/>
    <w:rsid w:val="3A7A03FE"/>
    <w:rsid w:val="3BB25CA8"/>
    <w:rsid w:val="3CCD3B29"/>
    <w:rsid w:val="3E0F2219"/>
    <w:rsid w:val="412229A1"/>
    <w:rsid w:val="42663BE0"/>
    <w:rsid w:val="42910A62"/>
    <w:rsid w:val="432C6D16"/>
    <w:rsid w:val="433170FE"/>
    <w:rsid w:val="43C818C8"/>
    <w:rsid w:val="47326770"/>
    <w:rsid w:val="48952D74"/>
    <w:rsid w:val="48B942E1"/>
    <w:rsid w:val="48CE4E19"/>
    <w:rsid w:val="496063B0"/>
    <w:rsid w:val="49EA7F33"/>
    <w:rsid w:val="4D4A75E6"/>
    <w:rsid w:val="4E41358F"/>
    <w:rsid w:val="4E851775"/>
    <w:rsid w:val="4F916AD6"/>
    <w:rsid w:val="4FF36715"/>
    <w:rsid w:val="50170FD5"/>
    <w:rsid w:val="531D1F5C"/>
    <w:rsid w:val="53917755"/>
    <w:rsid w:val="53F45FCB"/>
    <w:rsid w:val="5417750E"/>
    <w:rsid w:val="550A2604"/>
    <w:rsid w:val="566670C2"/>
    <w:rsid w:val="57525341"/>
    <w:rsid w:val="580C7988"/>
    <w:rsid w:val="581B44E0"/>
    <w:rsid w:val="58A93599"/>
    <w:rsid w:val="59C401B0"/>
    <w:rsid w:val="59F02142"/>
    <w:rsid w:val="5A250C45"/>
    <w:rsid w:val="5A422757"/>
    <w:rsid w:val="5AB61779"/>
    <w:rsid w:val="5B2D6BE2"/>
    <w:rsid w:val="5B8232F4"/>
    <w:rsid w:val="5BB0572D"/>
    <w:rsid w:val="5C4806DC"/>
    <w:rsid w:val="5CA26D96"/>
    <w:rsid w:val="5CB175A8"/>
    <w:rsid w:val="5D1659C4"/>
    <w:rsid w:val="5E0A65D6"/>
    <w:rsid w:val="5E557AFC"/>
    <w:rsid w:val="5E644602"/>
    <w:rsid w:val="5EFC2F27"/>
    <w:rsid w:val="5EFF0979"/>
    <w:rsid w:val="5F0E5ACE"/>
    <w:rsid w:val="5F1F77DD"/>
    <w:rsid w:val="6000661D"/>
    <w:rsid w:val="60AB4CB5"/>
    <w:rsid w:val="61523F58"/>
    <w:rsid w:val="62B70541"/>
    <w:rsid w:val="63C365C9"/>
    <w:rsid w:val="63CC0E3E"/>
    <w:rsid w:val="64274758"/>
    <w:rsid w:val="64577A84"/>
    <w:rsid w:val="659F531F"/>
    <w:rsid w:val="6727738D"/>
    <w:rsid w:val="673B0DA3"/>
    <w:rsid w:val="693E5C56"/>
    <w:rsid w:val="6A024207"/>
    <w:rsid w:val="6AFD2CFA"/>
    <w:rsid w:val="6B16136E"/>
    <w:rsid w:val="6B574061"/>
    <w:rsid w:val="6C875290"/>
    <w:rsid w:val="6D4D016B"/>
    <w:rsid w:val="6DE06BD6"/>
    <w:rsid w:val="6E0B0CCB"/>
    <w:rsid w:val="6EAA194B"/>
    <w:rsid w:val="6FE407BB"/>
    <w:rsid w:val="70086685"/>
    <w:rsid w:val="70342DC5"/>
    <w:rsid w:val="71B56949"/>
    <w:rsid w:val="722619AE"/>
    <w:rsid w:val="73613282"/>
    <w:rsid w:val="736D1F8C"/>
    <w:rsid w:val="74A117E6"/>
    <w:rsid w:val="75033EE7"/>
    <w:rsid w:val="75281807"/>
    <w:rsid w:val="752B6F1B"/>
    <w:rsid w:val="7565507C"/>
    <w:rsid w:val="76326CBE"/>
    <w:rsid w:val="76F6077A"/>
    <w:rsid w:val="78340311"/>
    <w:rsid w:val="7A672931"/>
    <w:rsid w:val="7B5D41F9"/>
    <w:rsid w:val="7B611224"/>
    <w:rsid w:val="7C1E2611"/>
    <w:rsid w:val="7C477C81"/>
    <w:rsid w:val="7CA47F50"/>
    <w:rsid w:val="7CF3348C"/>
    <w:rsid w:val="7D0611EC"/>
    <w:rsid w:val="7E330976"/>
    <w:rsid w:val="7E523F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0"/>
    <w:rPr>
      <w:b/>
      <w:bCs/>
    </w:rPr>
  </w:style>
  <w:style w:type="character" w:styleId="8">
    <w:name w:val="Hyperlink"/>
    <w:basedOn w:val="6"/>
    <w:semiHidden/>
    <w:unhideWhenUsed/>
    <w:qFormat/>
    <w:uiPriority w:val="99"/>
    <w:rPr>
      <w:color w:val="3F88BF"/>
      <w:u w:val="none"/>
    </w:rPr>
  </w:style>
  <w:style w:type="character" w:customStyle="1" w:styleId="9">
    <w:name w:val="apple-converted-space"/>
    <w:basedOn w:val="6"/>
    <w:qFormat/>
    <w:uiPriority w:val="0"/>
  </w:style>
  <w:style w:type="character" w:customStyle="1" w:styleId="10">
    <w:name w:val="msonormal"/>
    <w:basedOn w:val="6"/>
    <w:qFormat/>
    <w:uiPriority w:val="0"/>
  </w:style>
  <w:style w:type="character" w:customStyle="1" w:styleId="11">
    <w:name w:val="页眉 Char"/>
    <w:basedOn w:val="6"/>
    <w:link w:val="3"/>
    <w:semiHidden/>
    <w:qFormat/>
    <w:uiPriority w:val="99"/>
    <w:rPr>
      <w:rFonts w:ascii="Tahoma" w:hAnsi="Tahoma" w:eastAsia="微软雅黑" w:cstheme="minorBidi"/>
      <w:sz w:val="18"/>
      <w:szCs w:val="18"/>
    </w:rPr>
  </w:style>
  <w:style w:type="character" w:customStyle="1" w:styleId="12">
    <w:name w:val="页脚 Char"/>
    <w:basedOn w:val="6"/>
    <w:link w:val="2"/>
    <w:semiHidden/>
    <w:qFormat/>
    <w:uiPriority w:val="99"/>
    <w:rPr>
      <w:rFonts w:ascii="Tahoma" w:hAnsi="Tahoma" w:eastAsia="微软雅黑" w:cstheme="minorBidi"/>
      <w:sz w:val="18"/>
      <w:szCs w:val="18"/>
    </w:rPr>
  </w:style>
  <w:style w:type="paragraph" w:styleId="13">
    <w:name w:val="List Paragraph"/>
    <w:basedOn w:val="1"/>
    <w:unhideWhenUsed/>
    <w:qFormat/>
    <w:uiPriority w:val="99"/>
    <w:pPr>
      <w:ind w:firstLine="420" w:firstLineChars="200"/>
    </w:pPr>
  </w:style>
  <w:style w:type="character" w:customStyle="1" w:styleId="14">
    <w:name w:val="闻政-正文段落文字 Char"/>
    <w:link w:val="15"/>
    <w:qFormat/>
    <w:locked/>
    <w:uiPriority w:val="0"/>
    <w:rPr>
      <w:rFonts w:eastAsia="仿宋_GB2312"/>
      <w:sz w:val="28"/>
    </w:rPr>
  </w:style>
  <w:style w:type="paragraph" w:customStyle="1" w:styleId="15">
    <w:name w:val="闻政-正文段落文字"/>
    <w:basedOn w:val="1"/>
    <w:link w:val="14"/>
    <w:qFormat/>
    <w:uiPriority w:val="0"/>
    <w:pPr>
      <w:widowControl w:val="0"/>
      <w:adjustRightInd/>
      <w:snapToGrid/>
      <w:spacing w:after="0" w:line="500" w:lineRule="exact"/>
      <w:ind w:firstLine="200" w:firstLineChars="200"/>
      <w:jc w:val="both"/>
    </w:pPr>
    <w:rPr>
      <w:rFonts w:ascii="Times New Roman" w:hAnsi="Times New Roman" w:eastAsia="仿宋_GB2312" w:cs="Times New Roman"/>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1051</Words>
  <Characters>5993</Characters>
  <Lines>49</Lines>
  <Paragraphs>14</Paragraphs>
  <TotalTime>2</TotalTime>
  <ScaleCrop>false</ScaleCrop>
  <LinksUpToDate>false</LinksUpToDate>
  <CharactersWithSpaces>7030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郝军震</cp:lastModifiedBy>
  <dcterms:modified xsi:type="dcterms:W3CDTF">2021-06-03T04:57:29Z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