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u w:val="none"/>
        </w:rPr>
      </w:pPr>
    </w:p>
    <w:p>
      <w:pPr>
        <w:spacing w:line="540" w:lineRule="exact"/>
        <w:jc w:val="center"/>
        <w:rPr>
          <w:rFonts w:ascii="华文中宋" w:hAnsi="华文中宋" w:eastAsia="华文中宋" w:cs="宋体"/>
          <w:b/>
          <w:kern w:val="0"/>
          <w:sz w:val="52"/>
          <w:szCs w:val="52"/>
          <w:u w:val="none"/>
        </w:rPr>
      </w:pPr>
    </w:p>
    <w:p>
      <w:pPr>
        <w:spacing w:line="540" w:lineRule="exact"/>
        <w:jc w:val="center"/>
        <w:rPr>
          <w:rFonts w:hint="eastAsia"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新疆巴州和静县财政项目支出绩效</w:t>
      </w:r>
    </w:p>
    <w:p>
      <w:pPr>
        <w:spacing w:line="540" w:lineRule="exact"/>
        <w:jc w:val="center"/>
        <w:rPr>
          <w:rFonts w:ascii="方正小标宋_GBK" w:hAnsi="华文中宋" w:eastAsia="方正小标宋_GBK" w:cs="宋体"/>
          <w:b/>
          <w:kern w:val="0"/>
          <w:sz w:val="48"/>
          <w:szCs w:val="48"/>
          <w:u w:val="none"/>
        </w:rPr>
      </w:pPr>
      <w:r>
        <w:rPr>
          <w:rFonts w:hint="eastAsia" w:ascii="方正小标宋_GBK" w:hAnsi="华文中宋" w:eastAsia="方正小标宋_GBK" w:cs="宋体"/>
          <w:b/>
          <w:kern w:val="0"/>
          <w:sz w:val="48"/>
          <w:szCs w:val="48"/>
          <w:u w:val="none"/>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项目名称：少数民族发展资金项目管理费</w:t>
      </w:r>
    </w:p>
    <w:p>
      <w:pPr>
        <w:spacing w:line="700" w:lineRule="exact"/>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sz w:val="32"/>
          <w:szCs w:val="32"/>
          <w:lang w:eastAsia="zh-CN"/>
        </w:rPr>
        <w:t>和静县民族宗教事务委员会</w:t>
      </w:r>
    </w:p>
    <w:p>
      <w:pPr>
        <w:ind w:left="640" w:hanging="640" w:hanging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sz w:val="32"/>
          <w:szCs w:val="32"/>
          <w:lang w:eastAsia="zh-CN"/>
        </w:rPr>
        <w:t>和静县民族宗教事务委员会</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项目负责人（签章）：艾合买提·赛买提</w:t>
      </w:r>
    </w:p>
    <w:p>
      <w:pPr>
        <w:spacing w:line="700" w:lineRule="exact"/>
        <w:jc w:val="left"/>
        <w:rPr>
          <w:rFonts w:hAnsi="宋体" w:eastAsia="仿宋_GB2312" w:cs="宋体"/>
          <w:kern w:val="0"/>
          <w:sz w:val="30"/>
          <w:szCs w:val="30"/>
        </w:rPr>
      </w:pPr>
      <w:r>
        <w:rPr>
          <w:rFonts w:hint="eastAsia" w:ascii="仿宋_GB2312" w:hAnsi="仿宋_GB2312" w:eastAsia="仿宋_GB2312" w:cs="仿宋_GB2312"/>
          <w:kern w:val="0"/>
          <w:sz w:val="32"/>
          <w:szCs w:val="32"/>
        </w:rPr>
        <w:t>填报时间：2019年1月24日</w:t>
      </w:r>
      <w:bookmarkStart w:id="0" w:name="_GoBack"/>
      <w:bookmarkEnd w:id="0"/>
    </w:p>
    <w:p>
      <w:pPr>
        <w:spacing w:line="540" w:lineRule="exact"/>
        <w:rPr>
          <w:rStyle w:val="19"/>
          <w:rFonts w:ascii="黑体" w:hAnsi="黑体" w:eastAsia="黑体"/>
          <w:b w:val="0"/>
          <w:spacing w:val="-4"/>
          <w:sz w:val="32"/>
          <w:szCs w:val="32"/>
        </w:rPr>
      </w:pP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一、项目概况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（一）项目单位基本情况</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主要职能：</w:t>
      </w:r>
      <w:r>
        <w:rPr>
          <w:rFonts w:hint="eastAsia" w:ascii="仿宋_GB2312" w:hAnsi="仿宋_GB2312" w:eastAsia="仿宋_GB2312" w:cs="仿宋_GB2312"/>
          <w:sz w:val="32"/>
          <w:szCs w:val="32"/>
        </w:rPr>
        <w:t>1.贯彻执行党中央、自治区、自治州党委、人民政府关于民族和宗教工作的方针、政策；组织开展民族宗教理论、民族宗教政策的宣传教育；组织开展民族宗教工作重大问题的调查研究并提出工作建议；研究并提出和静县有关民族、宗教工作的方针、政策，参与起草和静县有关民族宗教事务管理的单行条例，拟订规范性文件，健全和静县民族宗教管理体系。</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负责协调推动有关部门履行民族工作相关职责，促进民族政策在经济发展和社会事业有关领域的实施、衔接，对县市政府民族工作进行业务指导；监督实施和完善民族区域自治制度建设，监督办理少数民族权益保障事宜；参与组织民族自治地方庆典等活动。</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3.参与协调维护社会稳定工作，及时稳妥地解决民族间、宗教间、教派间发生的矛盾和纠纷，配合有关部门及时处理涉及民族宗教方面的突发事件和影响社会稳定的有关问题。</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参与制定和静县少数民族经济发展政策和规划，研究提出少数民族经济发展的特殊政策和措施；负责民族事务服务体系和民族事务管理信息化建设工作；负责和静县清真食品有关监督管理工作；组织调查研究农牧区、贫困地区少数民族经济发展中的有关问题，配合并承办扶贫事宜；会同有关部门协调做好与发达地区科技、经济技术协作和对口支援工作；负责管理少数民族地区补助费的分配使用，会同有关部门管理国家给予民族地区的专项贷款、专项资金和项目选报工作；会同有关部门做好和静县民族贸易企业和民族特需用品定点生产企业优惠政策的落实工作；协助解决民族乡、村经济、社会发展的特殊问题。负责少数民族经济和社会的统计与分析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参与研究拟订少数民族文化、艺术、卫生、体育、新闻出版等方面的政策、规划，组织监督检查相关政策、措施的贯彻落实；组织协调举办和静县少数民族传统体育运动会；组织参加和静县少数民族传统体育运动会；指导民族古籍的搜集、整理、出版等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6.负责对全县少数民族人权状况、妇女儿童状况和散杂居少数民族情况的调查研究工作，配合有关都门拟订我县少数民族人权情况报告等事宜。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7.参与拟订和静县少数民族人才队伍建设规划；掌握少数民族干部情况，协助有关部门做好少数民族干部的培养、教育和使用等工作；制定民族、宗教工作干部培训规划并组织落实。</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8.依法履行宗教事务管理职责，依法保护公民宗教信仰自由和正常的宗教活动，维护宗教界权益，促进宗教关系和睦。</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9.组织实施国家、自治区、自治州的宗教法律、法规和政策，引导、促进宗教在法律、法规和政策范围内活动；负责宗教事务管理方面的行政复议等法律事务。</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10.指导宗教团体依法依章开展活动，支持宗教团体加强自身建设；推动宗教团体在宗教界开展爱国主义、社会主义、维护祖国统一和民族团结的自我教育，支持和帮助宗教团体培养教育宗教教职人员，做好爱国宗教人士带培工作；办理宗教团体需由政府解决或协调的事务。</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11.负责和静县民族、宗教方面的涉外工作，会同有关部门开展民族宗教政策及法律法规的对外宣传；负责组织开展国家、自治区、自治州有关朝觐政策的宣传教育活动；负责有组织朝觐和制止零散朝觐工作。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负责全县的民族团结进步模范创建工作，对和静县贯彻落实党和国家、自治区、自治州有关民族政策、法律法规以及民族团结进步模范创建工作情况进行督导、检查，组织开展民族团结进步模范创建活动的考核、验收和挂牌工作，承办民族团结进步模范表彰活动。</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13.贯彻执行国家、自治区、自治州关于语言文字工作的方针、政策和法律、法规；制定全县语言文字工作的规划和措施；对全县民汉两种文字行文和民汉两种语言的使用情况依法进行监督；负责推广普及国家通用的普通话、规范汉字和规范的少数民族语言文字；负责管理全县各民族语言文字规范化、标准化、信息化工作和全县语言文字的社会应用；制定全县“双语”学习工作发展规划、具体措施并提出表彰奖励办法；协调、指导全县开展“双语”学习活动。主管全县少数民族语言文字翻译工作；承担少数民族语言文字翻译专业人才培训工作；组织全县少数民族语言文字翻译职称评定工作；组织实施全县普通话水平测试、规范汉字和少数民族语言正字、正音的培训和测试工作；监督检查各乡镇、各部门执行语言文字政策、法规和开展语言文字工作的情况。</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14.承办和静县人民政府交办的其他事项。</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 xml:space="preserve">和静民宗委无下属单位，下设3个科室，分别是：行政办公室，民族事务股，宗教事务股。 </w:t>
      </w:r>
      <w:r>
        <w:rPr>
          <w:rStyle w:val="19"/>
          <w:rFonts w:hint="eastAsia" w:ascii="仿宋_GB2312" w:hAnsi="仿宋_GB2312" w:eastAsia="仿宋_GB2312" w:cs="仿宋_GB2312"/>
          <w:b w:val="0"/>
          <w:spacing w:val="-4"/>
          <w:sz w:val="32"/>
          <w:szCs w:val="32"/>
          <w:lang w:eastAsia="zh-CN"/>
        </w:rPr>
        <w:t>新疆巴州和静县民族宗教事务委员会</w:t>
      </w:r>
      <w:r>
        <w:rPr>
          <w:rStyle w:val="19"/>
          <w:rFonts w:hint="eastAsia" w:ascii="仿宋_GB2312" w:hAnsi="仿宋_GB2312" w:eastAsia="仿宋_GB2312" w:cs="仿宋_GB2312"/>
          <w:b w:val="0"/>
          <w:spacing w:val="-4"/>
          <w:sz w:val="32"/>
          <w:szCs w:val="32"/>
        </w:rPr>
        <w:t>编制数13个，实有人数 11 人，其中：在职  11人，减少2人，因人事调整调出两人； 退休8 人，增加或减少 0人，本年度；离休 0 人，增加或减少0人。</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机构情况：2018年度，纳入本部门决算汇编范围的独立核算单位共1个，比上年增减0个。</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人员情况：2018年，我单位定编人数11 人，比上年增加 0 个编，增长 0  %。 实有人员情况。2017年我单位年末实有人数11人，比上年增加  0 人。</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（二）项目预算绩效目标设定情况</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通过实施少数民族发展资金项目管理费项目，认真履行少数民族发展资金项目的监管职责，督促乡镇对项目实施各个环节认真把关，依法依规实施项目手续。项目实施前，严格实行项目预算、项目招投标等制度；项目建设过程中，采取日常检查与重点检查、定期检查与随机检查相结合的方式，对项目建设过程进行监督检查。定期不定期由分管领导带队，开展资金项目建设进度督查，实地了解项目建设中存在的问题，及时与县政府及主管部门进行沟通，切实推动项目进度。</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二、项目资金使用及管理情况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（一）项目资金安排落实、总投入等情况分析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2018年投入少数民族发展项目管理费4.5万元，用于项目公示、项目成果建设、项目宣传等方面的开支。</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（二）项目资金实际使用情况分析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用于支付制作钛合金、不锈钢牌子等牌子3.51万元，项目手册0.712万元，项目资料打印费0.283万元。</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（三）项目资金管理情况分析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严格执行财务管理制度，一是严格执行资金使用申请程序。首先由具体负责人员提供相关方案和经费预算，再由分管领导和财务人员审核，上报党组会讨论，最后落实；二是严格执行资金使用各项标准；三是严格执行资金使用报账制度，确保资金使用、管理符合财务制度规定，发挥最大使用效益。</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三、项目组织实施情况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（一）项目组织情况分析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项目安排财政资金4.5万元，其中上级财政拨款5万元，为本级财政安排0万元，财政资金以外用于项目的其他资金0万元，自筹资金0万元。实施过程中没有进行调整，已完成验收。</w:t>
      </w:r>
    </w:p>
    <w:p>
      <w:pPr>
        <w:spacing w:line="600" w:lineRule="exact"/>
        <w:ind w:firstLine="643" w:firstLineChars="200"/>
        <w:rPr>
          <w:rFonts w:ascii="方正楷体_GBK" w:hAnsi="方正楷体_GBK" w:eastAsia="方正楷体_GBK" w:cs="方正楷体_GBK"/>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（二）项目管理情况分析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管理制度：当年本专项经费开支前，由民宗委按照本本届自治区民运会预算预算上报全年支出计划，并报我委财务负责人审核后，报单位会议研究批复后执行。为确保项目顺利实施，经费支出采取“一事一报告”的审批制度，由财务负责人审核批复后执行。支出报账时，由项目负责人提供批复审核报告，经本单位财务负责人签字，凭据报销（发票由经办项目人员签字），由财务室办理报账手续。</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经费监督：专项经费是指本单位组织实施我县少数民族发展资金项目管理期间制作的宣传牌、宣传册等所需的资金。专项经费不得用于规定范围以外的项目，严禁以任何方式牟取私利，确保专款专用。</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四、项目绩效情况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（一）项目绩效目标完成情况分析</w:t>
      </w:r>
    </w:p>
    <w:p>
      <w:pPr>
        <w:spacing w:line="600" w:lineRule="exact"/>
        <w:ind w:firstLine="640" w:firstLineChars="200"/>
        <w:rPr>
          <w:rFonts w:ascii="仿宋_GB2312" w:hAnsi="仿宋_GB2312" w:eastAsia="仿宋_GB2312" w:cs="仿宋_GB2312"/>
          <w:bCs/>
          <w:spacing w:val="-4"/>
          <w:sz w:val="32"/>
          <w:szCs w:val="32"/>
        </w:rPr>
      </w:pPr>
      <w:r>
        <w:rPr>
          <w:rFonts w:hint="eastAsia" w:ascii="仿宋_GB2312" w:hAnsi="仿宋_GB2312" w:eastAsia="仿宋_GB2312" w:cs="仿宋_GB2312"/>
          <w:kern w:val="0"/>
          <w:sz w:val="32"/>
          <w:szCs w:val="32"/>
          <w:shd w:val="clear" w:color="auto" w:fill="FFFFFF"/>
        </w:rPr>
        <w:t>1. 投入</w:t>
      </w:r>
      <w:r>
        <w:rPr>
          <w:rStyle w:val="19"/>
          <w:rFonts w:hint="eastAsia" w:ascii="仿宋_GB2312" w:hAnsi="仿宋_GB2312" w:eastAsia="仿宋_GB2312" w:cs="仿宋_GB2312"/>
          <w:b w:val="0"/>
          <w:spacing w:val="-4"/>
          <w:sz w:val="32"/>
          <w:szCs w:val="32"/>
        </w:rPr>
        <w:t>支付制作钛合金、不锈钢牌子等牌子3.51万元，项目手册0.712万元，项目资料打印费0.283万元，大力宣传了本年度项目执行的成果，进一步提高项目的实效性。</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（二）项目绩效目标未完成原因分析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项目已完成。</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五、其他需要说明的问题</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（一）后续工作计划</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我委始终将加强资金项目规范化管理作为提高资金使用效益的有效措施。坚持每月收集项目开展情况，及时掌握项目实施进度，发挥好指导、监督和协调作用；根据项目实施进度，认真分析项目执行过程中存在的问题，及时对各乡镇情况进行通报，互相取长补短.</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（二）主要经验及做法、存在问题和建议</w:t>
      </w:r>
    </w:p>
    <w:p>
      <w:pPr>
        <w:widowControl/>
        <w:tabs>
          <w:tab w:val="left" w:pos="6510"/>
        </w:tabs>
        <w:spacing w:before="100" w:beforeAutospacing="1" w:after="100" w:afterAutospacing="1" w:line="600" w:lineRule="exact"/>
        <w:ind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无</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（三）其他</w:t>
      </w:r>
    </w:p>
    <w:p>
      <w:pPr>
        <w:widowControl/>
        <w:tabs>
          <w:tab w:val="left" w:pos="6510"/>
        </w:tabs>
        <w:spacing w:before="100" w:beforeAutospacing="1" w:after="100" w:afterAutospacing="1" w:line="600" w:lineRule="exact"/>
        <w:ind w:firstLine="640" w:firstLineChars="200"/>
        <w:jc w:val="left"/>
        <w:rPr>
          <w:rFonts w:ascii="仿宋_GB2312" w:hAnsi="仿宋_GB2312" w:eastAsia="仿宋_GB2312" w:cs="仿宋_GB2312"/>
          <w:kern w:val="0"/>
          <w:sz w:val="32"/>
          <w:szCs w:val="32"/>
          <w:shd w:val="clear" w:color="auto" w:fill="FFFFFF"/>
        </w:rPr>
      </w:pPr>
      <w:r>
        <w:rPr>
          <w:rFonts w:hint="eastAsia" w:ascii="仿宋_GB2312" w:hAnsi="仿宋_GB2312" w:eastAsia="仿宋_GB2312" w:cs="仿宋_GB2312"/>
          <w:kern w:val="0"/>
          <w:sz w:val="32"/>
          <w:szCs w:val="32"/>
          <w:shd w:val="clear" w:color="auto" w:fill="FFFFFF"/>
        </w:rPr>
        <w:t>无</w:t>
      </w:r>
    </w:p>
    <w:p>
      <w:pPr>
        <w:spacing w:line="600" w:lineRule="exact"/>
        <w:ind w:firstLine="640"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kern w:val="0"/>
          <w:sz w:val="32"/>
          <w:szCs w:val="32"/>
          <w:shd w:val="clear" w:color="auto" w:fill="FFFFFF"/>
        </w:rPr>
        <w:t>六</w:t>
      </w:r>
      <w:r>
        <w:rPr>
          <w:rFonts w:hint="eastAsia" w:ascii="方正黑体_GBK" w:hAnsi="方正黑体_GBK" w:eastAsia="方正黑体_GBK" w:cs="方正黑体_GBK"/>
          <w:b/>
          <w:bCs/>
          <w:kern w:val="0"/>
          <w:sz w:val="32"/>
          <w:szCs w:val="32"/>
          <w:shd w:val="clear" w:color="auto" w:fill="FFFFFF"/>
        </w:rPr>
        <w:t>、项目评价工作情况</w:t>
      </w:r>
    </w:p>
    <w:p>
      <w:pPr>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包括评价基础数据收集、资料来源和依据等佐证材料情况，项目现场勘验检查核实等情况。</w:t>
      </w:r>
    </w:p>
    <w:p>
      <w:pPr>
        <w:spacing w:line="600" w:lineRule="exact"/>
        <w:ind w:firstLine="640" w:firstLineChars="200"/>
        <w:rPr>
          <w:rFonts w:ascii="方正黑体_GBK" w:hAnsi="方正黑体_GBK" w:eastAsia="方正黑体_GBK" w:cs="方正黑体_GBK"/>
          <w:kern w:val="0"/>
          <w:sz w:val="32"/>
          <w:szCs w:val="32"/>
          <w:shd w:val="clear" w:color="auto" w:fill="FFFFFF"/>
        </w:rPr>
      </w:pPr>
      <w:r>
        <w:rPr>
          <w:rFonts w:hint="eastAsia" w:ascii="方正黑体_GBK" w:hAnsi="方正黑体_GBK" w:eastAsia="方正黑体_GBK" w:cs="方正黑体_GBK"/>
          <w:kern w:val="0"/>
          <w:sz w:val="32"/>
          <w:szCs w:val="32"/>
          <w:shd w:val="clear" w:color="auto" w:fill="FFFFFF"/>
        </w:rPr>
        <w:t>七、附表</w:t>
      </w:r>
    </w:p>
    <w:p>
      <w:pPr>
        <w:spacing w:line="60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新疆巴州和静县民族宗教事务委员会</w:t>
      </w:r>
      <w:r>
        <w:rPr>
          <w:rFonts w:hint="eastAsia" w:ascii="仿宋_GB2312" w:hAnsi="仿宋_GB2312" w:eastAsia="仿宋_GB2312" w:cs="仿宋_GB2312"/>
          <w:color w:val="000000"/>
          <w:sz w:val="32"/>
          <w:szCs w:val="32"/>
        </w:rPr>
        <w:t>财政项目支出绩效自评表》</w:t>
      </w: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ind w:firstLine="640" w:firstLineChars="200"/>
        <w:rPr>
          <w:rFonts w:hint="eastAsia" w:ascii="仿宋_GB2312" w:hAnsi="仿宋_GB2312" w:eastAsia="仿宋_GB2312" w:cs="仿宋_GB2312"/>
          <w:color w:val="000000"/>
          <w:sz w:val="32"/>
          <w:szCs w:val="32"/>
        </w:rPr>
      </w:pPr>
    </w:p>
    <w:p>
      <w:pPr>
        <w:spacing w:line="600" w:lineRule="exact"/>
        <w:rPr>
          <w:rFonts w:ascii="仿宋_GB2312" w:hAnsi="仿宋_GB2312" w:eastAsia="仿宋_GB2312" w:cs="仿宋_GB2312"/>
          <w:color w:val="000000"/>
          <w:sz w:val="32"/>
          <w:szCs w:val="32"/>
        </w:rPr>
      </w:pPr>
    </w:p>
    <w:tbl>
      <w:tblPr>
        <w:tblStyle w:val="17"/>
        <w:tblW w:w="9820" w:type="dxa"/>
        <w:tblInd w:w="93" w:type="dxa"/>
        <w:tblLayout w:type="autofit"/>
        <w:tblCellMar>
          <w:top w:w="0" w:type="dxa"/>
          <w:left w:w="108" w:type="dxa"/>
          <w:bottom w:w="0" w:type="dxa"/>
          <w:right w:w="108" w:type="dxa"/>
        </w:tblCellMar>
      </w:tblPr>
      <w:tblGrid>
        <w:gridCol w:w="1080"/>
        <w:gridCol w:w="1080"/>
        <w:gridCol w:w="1080"/>
        <w:gridCol w:w="1080"/>
        <w:gridCol w:w="1080"/>
        <w:gridCol w:w="1080"/>
        <w:gridCol w:w="1180"/>
        <w:gridCol w:w="1080"/>
        <w:gridCol w:w="1080"/>
      </w:tblGrid>
      <w:tr>
        <w:tblPrEx>
          <w:tblCellMar>
            <w:top w:w="0" w:type="dxa"/>
            <w:left w:w="108" w:type="dxa"/>
            <w:bottom w:w="0" w:type="dxa"/>
            <w:right w:w="108" w:type="dxa"/>
          </w:tblCellMar>
        </w:tblPrEx>
        <w:trPr>
          <w:trHeight w:val="405" w:hRule="atLeast"/>
        </w:trPr>
        <w:tc>
          <w:tcPr>
            <w:tcW w:w="9820" w:type="dxa"/>
            <w:gridSpan w:val="9"/>
            <w:tcBorders>
              <w:top w:val="nil"/>
              <w:left w:val="nil"/>
              <w:bottom w:val="nil"/>
              <w:right w:val="nil"/>
            </w:tcBorders>
            <w:shd w:val="clear" w:color="auto" w:fill="auto"/>
            <w:vAlign w:val="center"/>
          </w:tcPr>
          <w:p>
            <w:pPr>
              <w:widowControl/>
              <w:jc w:val="center"/>
              <w:rPr>
                <w:rFonts w:hint="eastAsia" w:ascii="宋体" w:hAnsi="宋体" w:cs="宋体"/>
                <w:b/>
                <w:bCs/>
                <w:kern w:val="0"/>
                <w:sz w:val="32"/>
                <w:szCs w:val="32"/>
                <w:u w:val="single"/>
              </w:rPr>
            </w:pPr>
          </w:p>
          <w:p>
            <w:pPr>
              <w:widowControl/>
              <w:jc w:val="center"/>
              <w:rPr>
                <w:rFonts w:ascii="宋体" w:hAnsi="宋体" w:cs="宋体"/>
                <w:b/>
                <w:bCs/>
                <w:kern w:val="0"/>
                <w:sz w:val="32"/>
                <w:szCs w:val="32"/>
                <w:u w:val="single"/>
              </w:rPr>
            </w:pPr>
            <w:r>
              <w:rPr>
                <w:rFonts w:hint="eastAsia" w:ascii="宋体" w:hAnsi="宋体" w:cs="宋体"/>
                <w:b/>
                <w:bCs/>
                <w:kern w:val="0"/>
                <w:sz w:val="32"/>
                <w:szCs w:val="32"/>
                <w:u w:val="single"/>
                <w:lang w:eastAsia="zh-CN"/>
              </w:rPr>
              <w:t>新疆巴州和静县民族宗教事务委员会</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820" w:type="dxa"/>
            <w:gridSpan w:val="9"/>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r>
              <w:rPr>
                <w:rFonts w:hint="eastAsia" w:ascii="宋体" w:hAnsi="宋体" w:cs="宋体"/>
                <w:color w:val="000000"/>
                <w:kern w:val="0"/>
                <w:sz w:val="24"/>
              </w:rPr>
              <w:t>（2018年度）</w:t>
            </w:r>
          </w:p>
        </w:tc>
      </w:tr>
      <w:tr>
        <w:tblPrEx>
          <w:tblCellMar>
            <w:top w:w="0" w:type="dxa"/>
            <w:left w:w="108" w:type="dxa"/>
            <w:bottom w:w="0" w:type="dxa"/>
            <w:right w:w="108" w:type="dxa"/>
          </w:tblCellMar>
        </w:tblPrEx>
        <w:trPr>
          <w:trHeight w:val="315" w:hRule="atLeast"/>
        </w:trPr>
        <w:tc>
          <w:tcPr>
            <w:tcW w:w="1080"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c>
          <w:tcPr>
            <w:tcW w:w="3340" w:type="dxa"/>
            <w:gridSpan w:val="3"/>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kern w:val="0"/>
                <w:sz w:val="24"/>
              </w:rPr>
            </w:pPr>
          </w:p>
        </w:tc>
      </w:tr>
      <w:tr>
        <w:tblPrEx>
          <w:tblCellMar>
            <w:top w:w="0" w:type="dxa"/>
            <w:left w:w="108" w:type="dxa"/>
            <w:bottom w:w="0" w:type="dxa"/>
            <w:right w:w="108" w:type="dxa"/>
          </w:tblCellMar>
        </w:tblPrEx>
        <w:trPr>
          <w:trHeight w:val="300" w:hRule="atLeast"/>
        </w:trPr>
        <w:tc>
          <w:tcPr>
            <w:tcW w:w="324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项目名称</w:t>
            </w:r>
          </w:p>
        </w:tc>
        <w:tc>
          <w:tcPr>
            <w:tcW w:w="658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eastAsia="zh-CN"/>
              </w:rPr>
              <w:t>新疆巴州和静县民族宗教事务委员会</w:t>
            </w:r>
            <w:r>
              <w:rPr>
                <w:rFonts w:hint="eastAsia" w:ascii="宋体" w:hAnsi="宋体" w:cs="宋体"/>
                <w:color w:val="000000"/>
                <w:kern w:val="0"/>
                <w:sz w:val="20"/>
                <w:szCs w:val="20"/>
              </w:rPr>
              <w:t>少数民族发展资金项目管理费</w:t>
            </w:r>
          </w:p>
        </w:tc>
      </w:tr>
      <w:tr>
        <w:tblPrEx>
          <w:tblCellMar>
            <w:top w:w="0" w:type="dxa"/>
            <w:left w:w="108" w:type="dxa"/>
            <w:bottom w:w="0" w:type="dxa"/>
            <w:right w:w="108" w:type="dxa"/>
          </w:tblCellMar>
        </w:tblPrEx>
        <w:trPr>
          <w:trHeight w:val="300" w:hRule="atLeast"/>
        </w:trPr>
        <w:tc>
          <w:tcPr>
            <w:tcW w:w="324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预算单位</w:t>
            </w:r>
          </w:p>
        </w:tc>
        <w:tc>
          <w:tcPr>
            <w:tcW w:w="658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新疆巴州和静县民族宗教事务委员会</w:t>
            </w:r>
          </w:p>
        </w:tc>
      </w:tr>
      <w:tr>
        <w:tblPrEx>
          <w:tblCellMar>
            <w:top w:w="0" w:type="dxa"/>
            <w:left w:w="108" w:type="dxa"/>
            <w:bottom w:w="0" w:type="dxa"/>
            <w:right w:w="108" w:type="dxa"/>
          </w:tblCellMar>
        </w:tblPrEx>
        <w:trPr>
          <w:trHeight w:val="3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预算</w:t>
            </w:r>
          </w:p>
        </w:tc>
        <w:tc>
          <w:tcPr>
            <w:tcW w:w="21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预算数：</w:t>
            </w:r>
          </w:p>
        </w:tc>
        <w:tc>
          <w:tcPr>
            <w:tcW w:w="32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w:t>
            </w:r>
          </w:p>
        </w:tc>
        <w:tc>
          <w:tcPr>
            <w:tcW w:w="22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执行数：</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4.5</w:t>
            </w: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执行</w:t>
            </w:r>
          </w:p>
        </w:tc>
        <w:tc>
          <w:tcPr>
            <w:tcW w:w="21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26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3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情况</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其中：财政拨款</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w:t>
            </w:r>
          </w:p>
        </w:tc>
        <w:tc>
          <w:tcPr>
            <w:tcW w:w="22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其中：财政拨款</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4.5</w:t>
            </w:r>
          </w:p>
        </w:tc>
      </w:tr>
      <w:tr>
        <w:tblPrEx>
          <w:tblCellMar>
            <w:top w:w="0" w:type="dxa"/>
            <w:left w:w="108" w:type="dxa"/>
            <w:bottom w:w="0" w:type="dxa"/>
            <w:right w:w="108" w:type="dxa"/>
          </w:tblCellMar>
        </w:tblPrEx>
        <w:trPr>
          <w:trHeight w:val="3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其他资金</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w:t>
            </w:r>
          </w:p>
        </w:tc>
        <w:tc>
          <w:tcPr>
            <w:tcW w:w="22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其他资金</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kern w:val="0"/>
                <w:sz w:val="20"/>
                <w:szCs w:val="20"/>
              </w:rPr>
            </w:pPr>
            <w:r>
              <w:rPr>
                <w:rFonts w:hint="eastAsia" w:ascii="宋体" w:hAnsi="宋体" w:cs="宋体"/>
                <w:color w:val="000000"/>
                <w:kern w:val="0"/>
                <w:sz w:val="20"/>
                <w:szCs w:val="20"/>
              </w:rPr>
              <w:t>0</w:t>
            </w:r>
          </w:p>
        </w:tc>
      </w:tr>
      <w:tr>
        <w:tblPrEx>
          <w:tblCellMar>
            <w:top w:w="0" w:type="dxa"/>
            <w:left w:w="108" w:type="dxa"/>
            <w:bottom w:w="0" w:type="dxa"/>
            <w:right w:w="108" w:type="dxa"/>
          </w:tblCellMar>
        </w:tblPrEx>
        <w:trPr>
          <w:trHeight w:val="3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5400"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预期目标</w:t>
            </w:r>
          </w:p>
        </w:tc>
        <w:tc>
          <w:tcPr>
            <w:tcW w:w="334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实际完成目标</w:t>
            </w: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目标</w:t>
            </w:r>
          </w:p>
        </w:tc>
        <w:tc>
          <w:tcPr>
            <w:tcW w:w="5400"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34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p>
        </w:tc>
        <w:tc>
          <w:tcPr>
            <w:tcW w:w="5400"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34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193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情况</w:t>
            </w:r>
          </w:p>
        </w:tc>
        <w:tc>
          <w:tcPr>
            <w:tcW w:w="5400" w:type="dxa"/>
            <w:gridSpan w:val="5"/>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通过实施少数民族发展资金项目管理费项目，认真履行少数民族发展资金项目的监管职责，督促乡镇对项目实施各个环节认真把关，依法依规实施项目手续。项目实施前，严格实行项目预算、项目招投标等制度；项目建设过程中，采取日常检查与重点检查、定期检查与随机检查相结合的方式，对项目建设过程进行监督检查。定期不定期由分管领导带队，开展资金项目建设进度督查，实地了解项目建设中存在的问题，及时与县政府及主管部门进行沟通，切实推动项目进度。</w:t>
            </w:r>
          </w:p>
        </w:tc>
        <w:tc>
          <w:tcPr>
            <w:tcW w:w="3340" w:type="dxa"/>
            <w:gridSpan w:val="3"/>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通过实施少数民族发展资金项目管理费项目，对项目进行了及时、透明的公开公示，达到了预期的效果，已完成。</w:t>
            </w:r>
          </w:p>
        </w:tc>
      </w:tr>
      <w:tr>
        <w:tblPrEx>
          <w:tblCellMar>
            <w:top w:w="0" w:type="dxa"/>
            <w:left w:w="108" w:type="dxa"/>
            <w:bottom w:w="0" w:type="dxa"/>
            <w:right w:w="108" w:type="dxa"/>
          </w:tblCellMar>
        </w:tblPrEx>
        <w:trPr>
          <w:trHeight w:val="99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年度</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一级指标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二级指标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三级指标</w:t>
            </w:r>
          </w:p>
        </w:tc>
        <w:tc>
          <w:tcPr>
            <w:tcW w:w="11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预期指标值（包含数字及文字描述）</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实际完成指标值（包含数字及文字描述）</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绩效</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项目完成指标</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数量指标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不锈钢宣传牌</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≤7套</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7套</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亚克力铝合金制度牌</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≤8套</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8套</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项目相关资料打印本数</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≤5本</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5本</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完成</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制作项目册</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≤8套</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8套</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制作钛金牌</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≤7套</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7套</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情况</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质量指标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项目公示牌完成率</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项目公示牌制作及时率</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时效指标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项目实施时间</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2018年9月</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项目结束时间</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2018年10月</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100%</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成本指标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公示牌费用</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≤3.51万元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3.51万元</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项目手册及印刷工本费</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≤0.99万元</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0.99万元</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项目效果指标</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社会效益指标</w:t>
            </w:r>
          </w:p>
        </w:tc>
        <w:tc>
          <w:tcPr>
            <w:tcW w:w="3240"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项目公开知晓度</w:t>
            </w:r>
          </w:p>
        </w:tc>
        <w:tc>
          <w:tcPr>
            <w:tcW w:w="11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≥95%</w:t>
            </w:r>
          </w:p>
        </w:tc>
        <w:tc>
          <w:tcPr>
            <w:tcW w:w="2160"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≥95%</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color w:val="000000"/>
                <w:kern w:val="0"/>
                <w:sz w:val="20"/>
                <w:szCs w:val="20"/>
              </w:rPr>
            </w:pPr>
          </w:p>
        </w:tc>
        <w:tc>
          <w:tcPr>
            <w:tcW w:w="11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0"/>
                <w:szCs w:val="20"/>
              </w:rPr>
            </w:pPr>
          </w:p>
        </w:tc>
        <w:tc>
          <w:tcPr>
            <w:tcW w:w="216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trHeight w:val="48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可持续影响指标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提升民众对项目政策知晓率</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方正楷体_GBK" w:hAnsi="宋体" w:eastAsia="方正楷体_GBK" w:cs="宋体"/>
                <w:kern w:val="0"/>
                <w:sz w:val="20"/>
                <w:szCs w:val="20"/>
              </w:rPr>
              <w:t>≥</w:t>
            </w:r>
            <w:r>
              <w:rPr>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≥95%</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满意度指标</w:t>
            </w: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方正楷体_GBK" w:hAnsi="宋体" w:eastAsia="方正楷体_GBK" w:cs="宋体"/>
                <w:kern w:val="0"/>
                <w:sz w:val="20"/>
                <w:szCs w:val="20"/>
              </w:rPr>
              <w:t>≥</w:t>
            </w:r>
            <w:r>
              <w:rPr>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≥95%</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指标</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项目实施单位满意度</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方正楷体_GBK" w:hAnsi="宋体" w:eastAsia="方正楷体_GBK" w:cs="宋体"/>
                <w:kern w:val="0"/>
                <w:sz w:val="20"/>
                <w:szCs w:val="20"/>
              </w:rPr>
              <w:t>≥</w:t>
            </w:r>
            <w:r>
              <w:rPr>
                <w:kern w:val="0"/>
                <w:sz w:val="20"/>
                <w:szCs w:val="20"/>
              </w:rPr>
              <w:t>96%</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方正楷体_GBK" w:hAnsi="宋体" w:eastAsia="方正楷体_GBK" w:cs="宋体"/>
                <w:kern w:val="0"/>
                <w:sz w:val="20"/>
                <w:szCs w:val="20"/>
              </w:rPr>
              <w:t>≥</w:t>
            </w:r>
            <w:r>
              <w:rPr>
                <w:kern w:val="0"/>
                <w:sz w:val="20"/>
                <w:szCs w:val="20"/>
              </w:rPr>
              <w:t>96%</w:t>
            </w:r>
          </w:p>
        </w:tc>
      </w:tr>
      <w:tr>
        <w:tblPrEx>
          <w:tblCellMar>
            <w:top w:w="0" w:type="dxa"/>
            <w:left w:w="108" w:type="dxa"/>
            <w:bottom w:w="0" w:type="dxa"/>
            <w:right w:w="108" w:type="dxa"/>
          </w:tblCellMar>
        </w:tblPrEx>
        <w:trPr>
          <w:trHeight w:val="36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324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项目施工单位满意度</w:t>
            </w:r>
          </w:p>
        </w:tc>
        <w:tc>
          <w:tcPr>
            <w:tcW w:w="1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方正楷体_GBK" w:hAnsi="宋体" w:eastAsia="方正楷体_GBK" w:cs="宋体"/>
                <w:kern w:val="0"/>
                <w:sz w:val="20"/>
                <w:szCs w:val="20"/>
              </w:rPr>
              <w:t>≥</w:t>
            </w:r>
            <w:r>
              <w:rPr>
                <w:kern w:val="0"/>
                <w:sz w:val="20"/>
                <w:szCs w:val="20"/>
              </w:rPr>
              <w:t>97%</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方正楷体_GBK" w:hAnsi="宋体" w:eastAsia="方正楷体_GBK" w:cs="宋体"/>
                <w:kern w:val="0"/>
                <w:sz w:val="20"/>
                <w:szCs w:val="20"/>
              </w:rPr>
              <w:t>≥</w:t>
            </w:r>
            <w:r>
              <w:rPr>
                <w:kern w:val="0"/>
                <w:sz w:val="20"/>
                <w:szCs w:val="20"/>
              </w:rPr>
              <w:t>97%</w:t>
            </w:r>
          </w:p>
        </w:tc>
      </w:tr>
    </w:tbl>
    <w:p>
      <w:pPr>
        <w:spacing w:line="600" w:lineRule="exact"/>
        <w:ind w:firstLine="640" w:firstLineChars="200"/>
        <w:rPr>
          <w:rFonts w:ascii="仿宋_GB2312" w:hAnsi="仿宋_GB2312" w:eastAsia="仿宋_GB2312" w:cs="仿宋_GB2312"/>
          <w:color w:val="000000"/>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p>
      <w:pPr>
        <w:spacing w:line="60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方正小标宋简体"/>
    <w:panose1 w:val="03000509000000000000"/>
    <w:charset w:val="86"/>
    <w:family w:val="script"/>
    <w:pitch w:val="default"/>
    <w:sig w:usb0="00000000" w:usb1="00000000" w:usb2="00000000" w:usb3="00000000" w:csb0="00040000" w:csb1="00000000"/>
  </w:font>
  <w:font w:name="方正楷体_GBK">
    <w:altName w:val="方正小标宋简体"/>
    <w:panose1 w:val="03000509000000000000"/>
    <w:charset w:val="86"/>
    <w:family w:val="script"/>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8</w:t>
    </w:r>
    <w:r>
      <w:rPr>
        <w:lang w:val="zh-CN"/>
      </w:rP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CA6457"/>
    <w:rsid w:val="00056465"/>
    <w:rsid w:val="000C13C9"/>
    <w:rsid w:val="000C7AC6"/>
    <w:rsid w:val="000E5FCB"/>
    <w:rsid w:val="001071D5"/>
    <w:rsid w:val="00121AE4"/>
    <w:rsid w:val="001241C1"/>
    <w:rsid w:val="00132D75"/>
    <w:rsid w:val="00146AAD"/>
    <w:rsid w:val="00180A65"/>
    <w:rsid w:val="00197821"/>
    <w:rsid w:val="001B3A40"/>
    <w:rsid w:val="001E24C9"/>
    <w:rsid w:val="002574E5"/>
    <w:rsid w:val="00265EBB"/>
    <w:rsid w:val="002C0A7C"/>
    <w:rsid w:val="002E590A"/>
    <w:rsid w:val="00326FD7"/>
    <w:rsid w:val="00386F9D"/>
    <w:rsid w:val="003908B7"/>
    <w:rsid w:val="003C6A8E"/>
    <w:rsid w:val="004304FE"/>
    <w:rsid w:val="004366A8"/>
    <w:rsid w:val="00436F7E"/>
    <w:rsid w:val="0044478A"/>
    <w:rsid w:val="004520BF"/>
    <w:rsid w:val="00482515"/>
    <w:rsid w:val="00502BA7"/>
    <w:rsid w:val="005162F1"/>
    <w:rsid w:val="00535153"/>
    <w:rsid w:val="00554F82"/>
    <w:rsid w:val="00557407"/>
    <w:rsid w:val="0056390D"/>
    <w:rsid w:val="005719B0"/>
    <w:rsid w:val="005D10D6"/>
    <w:rsid w:val="005D2183"/>
    <w:rsid w:val="00616FCA"/>
    <w:rsid w:val="00691866"/>
    <w:rsid w:val="0069633C"/>
    <w:rsid w:val="006E6BB4"/>
    <w:rsid w:val="0070637A"/>
    <w:rsid w:val="00743B81"/>
    <w:rsid w:val="00770626"/>
    <w:rsid w:val="007A6592"/>
    <w:rsid w:val="007B5AB1"/>
    <w:rsid w:val="007C1A25"/>
    <w:rsid w:val="007D56EC"/>
    <w:rsid w:val="00831374"/>
    <w:rsid w:val="00855E3A"/>
    <w:rsid w:val="00903CB6"/>
    <w:rsid w:val="00922CB9"/>
    <w:rsid w:val="0092573B"/>
    <w:rsid w:val="00943BA1"/>
    <w:rsid w:val="0095353D"/>
    <w:rsid w:val="009564B6"/>
    <w:rsid w:val="009B2729"/>
    <w:rsid w:val="009E41A5"/>
    <w:rsid w:val="009E5CD9"/>
    <w:rsid w:val="00A26421"/>
    <w:rsid w:val="00A367D9"/>
    <w:rsid w:val="00A4293B"/>
    <w:rsid w:val="00A67D50"/>
    <w:rsid w:val="00A8691A"/>
    <w:rsid w:val="00AA5208"/>
    <w:rsid w:val="00AC1946"/>
    <w:rsid w:val="00AD128B"/>
    <w:rsid w:val="00AD6524"/>
    <w:rsid w:val="00AE48BB"/>
    <w:rsid w:val="00B04FC2"/>
    <w:rsid w:val="00B1063E"/>
    <w:rsid w:val="00B3358C"/>
    <w:rsid w:val="00B40063"/>
    <w:rsid w:val="00B41F61"/>
    <w:rsid w:val="00BA46E6"/>
    <w:rsid w:val="00C06BE3"/>
    <w:rsid w:val="00C32CF6"/>
    <w:rsid w:val="00C56C72"/>
    <w:rsid w:val="00CA182C"/>
    <w:rsid w:val="00CA6457"/>
    <w:rsid w:val="00CC7C0F"/>
    <w:rsid w:val="00CE3D94"/>
    <w:rsid w:val="00D16AF4"/>
    <w:rsid w:val="00D17F2E"/>
    <w:rsid w:val="00D30076"/>
    <w:rsid w:val="00D30354"/>
    <w:rsid w:val="00D926BD"/>
    <w:rsid w:val="00DF42A0"/>
    <w:rsid w:val="00E00D00"/>
    <w:rsid w:val="00E02E54"/>
    <w:rsid w:val="00E16FE1"/>
    <w:rsid w:val="00E3020A"/>
    <w:rsid w:val="00E769FE"/>
    <w:rsid w:val="00E86DF9"/>
    <w:rsid w:val="00E919AE"/>
    <w:rsid w:val="00EA2CBE"/>
    <w:rsid w:val="00EA3720"/>
    <w:rsid w:val="00F1359E"/>
    <w:rsid w:val="00F32FEE"/>
    <w:rsid w:val="00F3513D"/>
    <w:rsid w:val="00F4074A"/>
    <w:rsid w:val="00F40ED9"/>
    <w:rsid w:val="00F54388"/>
    <w:rsid w:val="00FB10BB"/>
    <w:rsid w:val="00FD1AEF"/>
    <w:rsid w:val="0A684FA6"/>
    <w:rsid w:val="0B3A4164"/>
    <w:rsid w:val="0BD821F7"/>
    <w:rsid w:val="0D171B29"/>
    <w:rsid w:val="0DFF22E3"/>
    <w:rsid w:val="14716E17"/>
    <w:rsid w:val="183D0A65"/>
    <w:rsid w:val="1BF93ABE"/>
    <w:rsid w:val="2DCF10D5"/>
    <w:rsid w:val="367A3AFE"/>
    <w:rsid w:val="36862882"/>
    <w:rsid w:val="39D5148A"/>
    <w:rsid w:val="3B8477CE"/>
    <w:rsid w:val="3C182B36"/>
    <w:rsid w:val="3F661879"/>
    <w:rsid w:val="42860A4B"/>
    <w:rsid w:val="44F64732"/>
    <w:rsid w:val="4C7E0D01"/>
    <w:rsid w:val="4CAA4C16"/>
    <w:rsid w:val="51784713"/>
    <w:rsid w:val="54491322"/>
    <w:rsid w:val="55DC5939"/>
    <w:rsid w:val="5BA074DC"/>
    <w:rsid w:val="5D555B07"/>
    <w:rsid w:val="601B53DB"/>
    <w:rsid w:val="60BF3E29"/>
    <w:rsid w:val="67EB6632"/>
    <w:rsid w:val="6F1A04DE"/>
    <w:rsid w:val="70C263C7"/>
    <w:rsid w:val="714C69CB"/>
    <w:rsid w:val="71974550"/>
    <w:rsid w:val="72767C4D"/>
    <w:rsid w:val="75EC4019"/>
    <w:rsid w:val="7746495C"/>
    <w:rsid w:val="7AD7378E"/>
    <w:rsid w:val="7F987CA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qFormat/>
    <w:uiPriority w:val="99"/>
    <w:rPr>
      <w:sz w:val="18"/>
      <w:szCs w:val="18"/>
    </w:rPr>
  </w:style>
  <w:style w:type="paragraph" w:styleId="12">
    <w:name w:val="footer"/>
    <w:basedOn w:val="1"/>
    <w:link w:val="45"/>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99"/>
    <w:pPr>
      <w:widowControl/>
      <w:spacing w:after="60"/>
      <w:jc w:val="center"/>
      <w:outlineLvl w:val="1"/>
    </w:pPr>
    <w:rPr>
      <w:rFonts w:ascii="Cambria" w:hAnsi="Cambria"/>
      <w:kern w:val="0"/>
      <w:sz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0"/>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标题 1 Char"/>
    <w:basedOn w:val="18"/>
    <w:link w:val="2"/>
    <w:qFormat/>
    <w:locked/>
    <w:uiPriority w:val="99"/>
    <w:rPr>
      <w:rFonts w:ascii="Cambria" w:hAnsi="Cambria" w:eastAsia="宋体" w:cs="Times New Roman"/>
      <w:b/>
      <w:bCs/>
      <w:kern w:val="32"/>
      <w:sz w:val="32"/>
      <w:szCs w:val="32"/>
    </w:rPr>
  </w:style>
  <w:style w:type="character" w:customStyle="1" w:styleId="22">
    <w:name w:val="标题 2 Char"/>
    <w:basedOn w:val="18"/>
    <w:link w:val="3"/>
    <w:semiHidden/>
    <w:qFormat/>
    <w:locked/>
    <w:uiPriority w:val="99"/>
    <w:rPr>
      <w:rFonts w:ascii="Cambria" w:hAnsi="Cambria" w:eastAsia="宋体" w:cs="Times New Roman"/>
      <w:b/>
      <w:bCs/>
      <w:i/>
      <w:iCs/>
      <w:sz w:val="28"/>
      <w:szCs w:val="28"/>
    </w:rPr>
  </w:style>
  <w:style w:type="character" w:customStyle="1" w:styleId="23">
    <w:name w:val="标题 3 Char"/>
    <w:basedOn w:val="18"/>
    <w:link w:val="4"/>
    <w:semiHidden/>
    <w:qFormat/>
    <w:locked/>
    <w:uiPriority w:val="99"/>
    <w:rPr>
      <w:rFonts w:ascii="Cambria" w:hAnsi="Cambria" w:eastAsia="宋体" w:cs="Times New Roman"/>
      <w:b/>
      <w:bCs/>
      <w:sz w:val="26"/>
      <w:szCs w:val="26"/>
    </w:rPr>
  </w:style>
  <w:style w:type="character" w:customStyle="1" w:styleId="24">
    <w:name w:val="标题 4 Char"/>
    <w:basedOn w:val="18"/>
    <w:link w:val="5"/>
    <w:semiHidden/>
    <w:qFormat/>
    <w:locked/>
    <w:uiPriority w:val="99"/>
    <w:rPr>
      <w:rFonts w:cs="Times New Roman"/>
      <w:b/>
      <w:bCs/>
      <w:sz w:val="28"/>
      <w:szCs w:val="28"/>
    </w:rPr>
  </w:style>
  <w:style w:type="character" w:customStyle="1" w:styleId="25">
    <w:name w:val="标题 5 Char"/>
    <w:basedOn w:val="18"/>
    <w:link w:val="6"/>
    <w:semiHidden/>
    <w:qFormat/>
    <w:locked/>
    <w:uiPriority w:val="99"/>
    <w:rPr>
      <w:rFonts w:cs="Times New Roman"/>
      <w:b/>
      <w:bCs/>
      <w:i/>
      <w:iCs/>
      <w:sz w:val="26"/>
      <w:szCs w:val="26"/>
    </w:rPr>
  </w:style>
  <w:style w:type="character" w:customStyle="1" w:styleId="26">
    <w:name w:val="标题 6 Char"/>
    <w:basedOn w:val="18"/>
    <w:link w:val="7"/>
    <w:semiHidden/>
    <w:locked/>
    <w:uiPriority w:val="99"/>
    <w:rPr>
      <w:rFonts w:cs="Times New Roman"/>
      <w:b/>
      <w:bCs/>
    </w:rPr>
  </w:style>
  <w:style w:type="character" w:customStyle="1" w:styleId="27">
    <w:name w:val="标题 7 Char"/>
    <w:basedOn w:val="18"/>
    <w:link w:val="8"/>
    <w:semiHidden/>
    <w:qFormat/>
    <w:locked/>
    <w:uiPriority w:val="99"/>
    <w:rPr>
      <w:rFonts w:cs="Times New Roman"/>
      <w:sz w:val="24"/>
      <w:szCs w:val="24"/>
    </w:rPr>
  </w:style>
  <w:style w:type="character" w:customStyle="1" w:styleId="28">
    <w:name w:val="标题 8 Char"/>
    <w:basedOn w:val="18"/>
    <w:link w:val="9"/>
    <w:semiHidden/>
    <w:qFormat/>
    <w:locked/>
    <w:uiPriority w:val="99"/>
    <w:rPr>
      <w:rFonts w:cs="Times New Roman"/>
      <w:i/>
      <w:iCs/>
      <w:sz w:val="24"/>
      <w:szCs w:val="24"/>
    </w:rPr>
  </w:style>
  <w:style w:type="character" w:customStyle="1" w:styleId="29">
    <w:name w:val="标题 9 Char"/>
    <w:basedOn w:val="18"/>
    <w:link w:val="10"/>
    <w:semiHidden/>
    <w:locked/>
    <w:uiPriority w:val="99"/>
    <w:rPr>
      <w:rFonts w:ascii="Cambria" w:hAnsi="Cambria" w:eastAsia="宋体" w:cs="Times New Roman"/>
    </w:rPr>
  </w:style>
  <w:style w:type="character" w:customStyle="1" w:styleId="30">
    <w:name w:val="标题 Char"/>
    <w:basedOn w:val="18"/>
    <w:link w:val="16"/>
    <w:qFormat/>
    <w:locked/>
    <w:uiPriority w:val="99"/>
    <w:rPr>
      <w:rFonts w:ascii="Cambria" w:hAnsi="Cambria" w:eastAsia="宋体" w:cs="Times New Roman"/>
      <w:b/>
      <w:bCs/>
      <w:kern w:val="28"/>
      <w:sz w:val="32"/>
      <w:szCs w:val="32"/>
    </w:rPr>
  </w:style>
  <w:style w:type="character" w:customStyle="1" w:styleId="31">
    <w:name w:val="副标题 Char"/>
    <w:basedOn w:val="18"/>
    <w:link w:val="14"/>
    <w:qFormat/>
    <w:locked/>
    <w:uiPriority w:val="99"/>
    <w:rPr>
      <w:rFonts w:ascii="Cambria" w:hAnsi="Cambria" w:eastAsia="宋体" w:cs="Times New Roman"/>
      <w:sz w:val="24"/>
      <w:szCs w:val="24"/>
    </w:rPr>
  </w:style>
  <w:style w:type="paragraph" w:customStyle="1" w:styleId="32">
    <w:name w:val="无间隔1"/>
    <w:basedOn w:val="1"/>
    <w:qFormat/>
    <w:uiPriority w:val="99"/>
    <w:pPr>
      <w:widowControl/>
      <w:jc w:val="left"/>
    </w:pPr>
    <w:rPr>
      <w:rFonts w:ascii="Calibri" w:hAnsi="Calibri"/>
      <w:kern w:val="0"/>
      <w:sz w:val="24"/>
      <w:szCs w:val="32"/>
      <w:lang w:eastAsia="en-US"/>
    </w:rPr>
  </w:style>
  <w:style w:type="paragraph" w:customStyle="1" w:styleId="33">
    <w:name w:val="列出段落1"/>
    <w:basedOn w:val="1"/>
    <w:qFormat/>
    <w:uiPriority w:val="99"/>
    <w:pPr>
      <w:widowControl/>
      <w:ind w:left="720"/>
      <w:contextualSpacing/>
      <w:jc w:val="left"/>
    </w:pPr>
    <w:rPr>
      <w:rFonts w:ascii="Calibri" w:hAnsi="Calibri"/>
      <w:kern w:val="0"/>
      <w:sz w:val="24"/>
      <w:lang w:eastAsia="en-US"/>
    </w:rPr>
  </w:style>
  <w:style w:type="paragraph" w:customStyle="1" w:styleId="34">
    <w:name w:val="引用1"/>
    <w:basedOn w:val="1"/>
    <w:next w:val="1"/>
    <w:link w:val="35"/>
    <w:qFormat/>
    <w:uiPriority w:val="99"/>
    <w:pPr>
      <w:widowControl/>
      <w:jc w:val="left"/>
    </w:pPr>
    <w:rPr>
      <w:rFonts w:ascii="Calibri" w:hAnsi="Calibri"/>
      <w:i/>
      <w:kern w:val="0"/>
      <w:sz w:val="24"/>
    </w:rPr>
  </w:style>
  <w:style w:type="character" w:customStyle="1" w:styleId="35">
    <w:name w:val="Quote Char"/>
    <w:basedOn w:val="18"/>
    <w:link w:val="34"/>
    <w:locked/>
    <w:uiPriority w:val="99"/>
    <w:rPr>
      <w:rFonts w:cs="Times New Roman"/>
      <w:i/>
      <w:sz w:val="24"/>
      <w:szCs w:val="24"/>
    </w:rPr>
  </w:style>
  <w:style w:type="paragraph" w:customStyle="1" w:styleId="36">
    <w:name w:val="明显引用1"/>
    <w:basedOn w:val="1"/>
    <w:next w:val="1"/>
    <w:link w:val="37"/>
    <w:qFormat/>
    <w:uiPriority w:val="99"/>
    <w:pPr>
      <w:widowControl/>
      <w:ind w:left="720" w:right="720"/>
      <w:jc w:val="left"/>
    </w:pPr>
    <w:rPr>
      <w:rFonts w:ascii="Calibri" w:hAnsi="Calibri"/>
      <w:b/>
      <w:i/>
      <w:kern w:val="0"/>
      <w:sz w:val="24"/>
      <w:szCs w:val="22"/>
    </w:rPr>
  </w:style>
  <w:style w:type="character" w:customStyle="1" w:styleId="37">
    <w:name w:val="Intense Quote Char"/>
    <w:basedOn w:val="18"/>
    <w:link w:val="36"/>
    <w:qFormat/>
    <w:locked/>
    <w:uiPriority w:val="99"/>
    <w:rPr>
      <w:rFonts w:cs="Times New Roman"/>
      <w:b/>
      <w:i/>
      <w:sz w:val="24"/>
    </w:rPr>
  </w:style>
  <w:style w:type="character" w:customStyle="1" w:styleId="38">
    <w:name w:val="不明显强调1"/>
    <w:basedOn w:val="18"/>
    <w:qFormat/>
    <w:uiPriority w:val="99"/>
    <w:rPr>
      <w:i/>
      <w:color w:val="5A5A5A"/>
    </w:rPr>
  </w:style>
  <w:style w:type="character" w:customStyle="1" w:styleId="39">
    <w:name w:val="明显强调1"/>
    <w:basedOn w:val="18"/>
    <w:qFormat/>
    <w:uiPriority w:val="99"/>
    <w:rPr>
      <w:rFonts w:cs="Times New Roman"/>
      <w:b/>
      <w:i/>
      <w:sz w:val="24"/>
      <w:szCs w:val="24"/>
      <w:u w:val="single"/>
    </w:rPr>
  </w:style>
  <w:style w:type="character" w:customStyle="1" w:styleId="40">
    <w:name w:val="不明显参考1"/>
    <w:basedOn w:val="18"/>
    <w:qFormat/>
    <w:uiPriority w:val="99"/>
    <w:rPr>
      <w:rFonts w:cs="Times New Roman"/>
      <w:sz w:val="24"/>
      <w:szCs w:val="24"/>
      <w:u w:val="single"/>
    </w:rPr>
  </w:style>
  <w:style w:type="character" w:customStyle="1" w:styleId="41">
    <w:name w:val="明显参考1"/>
    <w:basedOn w:val="18"/>
    <w:qFormat/>
    <w:uiPriority w:val="99"/>
    <w:rPr>
      <w:rFonts w:cs="Times New Roman"/>
      <w:b/>
      <w:sz w:val="24"/>
      <w:u w:val="single"/>
    </w:rPr>
  </w:style>
  <w:style w:type="character" w:customStyle="1" w:styleId="42">
    <w:name w:val="书籍标题1"/>
    <w:basedOn w:val="18"/>
    <w:qFormat/>
    <w:uiPriority w:val="99"/>
    <w:rPr>
      <w:rFonts w:ascii="Cambria" w:hAnsi="Cambria" w:eastAsia="宋体" w:cs="Times New Roman"/>
      <w:b/>
      <w:i/>
      <w:sz w:val="24"/>
      <w:szCs w:val="24"/>
    </w:rPr>
  </w:style>
  <w:style w:type="paragraph" w:customStyle="1" w:styleId="43">
    <w:name w:val="TOC 标题1"/>
    <w:basedOn w:val="2"/>
    <w:next w:val="1"/>
    <w:qFormat/>
    <w:uiPriority w:val="99"/>
    <w:pPr>
      <w:outlineLvl w:val="9"/>
    </w:pPr>
    <w:rPr>
      <w:lang w:eastAsia="en-US"/>
    </w:rPr>
  </w:style>
  <w:style w:type="character" w:customStyle="1" w:styleId="44">
    <w:name w:val="页眉 Char"/>
    <w:basedOn w:val="18"/>
    <w:link w:val="13"/>
    <w:qFormat/>
    <w:locked/>
    <w:uiPriority w:val="99"/>
    <w:rPr>
      <w:rFonts w:ascii="Calibri" w:hAnsi="Calibri" w:eastAsia="宋体" w:cs="Times New Roman"/>
      <w:kern w:val="2"/>
      <w:sz w:val="18"/>
      <w:szCs w:val="18"/>
    </w:rPr>
  </w:style>
  <w:style w:type="character" w:customStyle="1" w:styleId="45">
    <w:name w:val="页脚 Char"/>
    <w:basedOn w:val="18"/>
    <w:link w:val="12"/>
    <w:qFormat/>
    <w:locked/>
    <w:uiPriority w:val="99"/>
    <w:rPr>
      <w:rFonts w:ascii="Calibri" w:hAnsi="Calibri" w:eastAsia="宋体" w:cs="Times New Roman"/>
      <w:kern w:val="2"/>
      <w:sz w:val="18"/>
      <w:szCs w:val="18"/>
    </w:rPr>
  </w:style>
  <w:style w:type="character" w:customStyle="1" w:styleId="46">
    <w:name w:val="批注框文本 Char"/>
    <w:basedOn w:val="18"/>
    <w:link w:val="11"/>
    <w:semiHidden/>
    <w:qFormat/>
    <w:locked/>
    <w:uiPriority w:val="99"/>
    <w:rPr>
      <w:rFonts w:ascii="Times New Roman" w:hAnsi="Times New Roman" w:eastAsia="宋体" w:cs="Times New Roman"/>
      <w:kern w:val="2"/>
      <w:sz w:val="18"/>
      <w:szCs w:val="18"/>
    </w:rPr>
  </w:style>
  <w:style w:type="paragraph" w:customStyle="1" w:styleId="47">
    <w:name w:val="Char"/>
    <w:basedOn w:val="1"/>
    <w:qFormat/>
    <w:uiPriority w:val="99"/>
    <w:pPr>
      <w:spacing w:line="365" w:lineRule="atLeast"/>
      <w:ind w:left="1"/>
      <w:textAlignment w:val="bottom"/>
    </w:pPr>
    <w:rPr>
      <w:rFonts w:ascii="宋体" w:hAnsi="宋体" w:cs="Courier New"/>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36990-F75C-4396-993F-CCCC7C80BBA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661</Words>
  <Characters>3774</Characters>
  <Lines>31</Lines>
  <Paragraphs>8</Paragraphs>
  <TotalTime>98</TotalTime>
  <ScaleCrop>false</ScaleCrop>
  <LinksUpToDate>false</LinksUpToDate>
  <CharactersWithSpaces>4427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2021-05-29T12:09:42Z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CFCC3C0D9F4E4C5394FDB23676FF5541</vt:lpwstr>
  </property>
</Properties>
</file>