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u w:val="none"/>
        </w:rPr>
      </w:pP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项目名称：民运会工作经费</w:t>
      </w:r>
    </w:p>
    <w:p>
      <w:pPr>
        <w:spacing w:line="7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z w:val="32"/>
          <w:szCs w:val="32"/>
          <w:lang w:eastAsia="zh-CN"/>
        </w:rPr>
        <w:t>和静县民族宗教事务委员会</w:t>
      </w:r>
    </w:p>
    <w:p>
      <w:pPr>
        <w:ind w:left="640" w:hanging="640" w:hanging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sz w:val="32"/>
          <w:szCs w:val="32"/>
          <w:lang w:eastAsia="zh-CN"/>
        </w:rPr>
        <w:t>和静县民族宗教事务委员会</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项目负责人（签章）：艾合买提·赛买提</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填报时间：2019年1月24日</w:t>
      </w:r>
      <w:bookmarkStart w:id="0" w:name="_GoBack"/>
      <w:bookmarkEnd w:id="0"/>
    </w:p>
    <w:p>
      <w:pPr>
        <w:spacing w:line="540" w:lineRule="exact"/>
        <w:rPr>
          <w:rStyle w:val="19"/>
          <w:rFonts w:ascii="黑体" w:hAnsi="黑体" w:eastAsia="黑体"/>
          <w:b w:val="0"/>
          <w:spacing w:val="-4"/>
          <w:sz w:val="32"/>
          <w:szCs w:val="32"/>
        </w:rPr>
      </w:pP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一、项目概况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（一）项目单位基本情况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主要职能：</w:t>
      </w:r>
      <w:r>
        <w:rPr>
          <w:rFonts w:hint="eastAsia" w:ascii="仿宋_GB2312" w:hAnsi="仿宋_GB2312" w:eastAsia="仿宋_GB2312" w:cs="仿宋_GB2312"/>
          <w:sz w:val="32"/>
          <w:szCs w:val="32"/>
        </w:rPr>
        <w:t>1.贯彻执行党中央、自治区、自治州党委、人民政府关于民族和宗教工作的方针、政策；组织开展民族宗教理论、民族宗教政策的宣传教育；组织开展民族宗教工作重大问题的调查研究并提出工作建议；研究并提出和静县有关民族、宗教工作的方针、政策，参与起草和静县有关民族宗教事务管理的单行条例，拟订规范性文件，健全和静县民族宗教管理体系。</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负责协调推动有关部门履行民族工作相关职责，促进民族政策在经济发展和社会事业有关领域的实施、衔接，对县市政府民族工作进行业务指导；监督实施和完善民族区域自治制度建设，监督办理少数民族权益保障事宜；参与组织民族自治地方庆典等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3.参与协调维护社会稳定工作，及时稳妥地解决民族间、宗教间、教派间发生的矛盾和纠纷，配合有关部门及时处理涉及民族宗教方面的突发事件和影响社会稳定的有关问题。</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参与制定和静县少数民族经济发展政策和规划，研究提出少数民族经济发展的特殊政策和措施；负责民族事务服务体系和民族事务管理信息化建设工作；负责和静县清真食品有关监督管理工作；组织调查研究农牧区、贫困地区少数民族经济发展中的有关问题，配合并承办扶贫事宜；会同有关部门协调做好与发达地区科技、经济技术协作和对口支援工作；负责管理少数民族地区补助费的分配使用，会同有关部门管理国家给予民族地区的专项贷款、专项资金和项目选报工作；会同有关部门做好和静县民族贸易企业和民族特需用品定点生产企业优惠政策的落实工作；协助解决民族乡、村经济、社会发展的特殊问题。负责少数民族经济和社会的统计与分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参与研究拟订少数民族文化、艺术、卫生、体育、新闻出版等方面的政策、规划，组织监督检查相关政策、措施的贯彻落实；组织协调举办和静县少数民族传统体育运动会；组织参加和静县少数民族传统体育运动会；指导民族古籍的搜集、整理、出版等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6.负责对全县少数民族人权状况、妇女儿童状况和散杂居少数民族情况的调查研究工作，配合有关都门拟订我县少数民族人权情况报告等事宜。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7.参与拟订和静县少数民族人才队伍建设规划；掌握少数民族干部情况，协助有关部门做好少数民族干部的培养、教育和使用等工作；制定民族、宗教工作干部培训规划并组织落实。</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8.依法履行宗教事务管理职责，依法保护公民宗教信仰自由和正常的宗教活动，维护宗教界权益，促进宗教关系和睦。</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9.组织实施国家、自治区、自治州的宗教法律、法规和政策，引导、促进宗教在法律、法规和政策范围内活动；负责宗教事务管理方面的行政复议等法律事务。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指导宗教团体依法依章开展活动，支持宗教团体加强自身建设；推动宗教团体在宗教界开展爱国主义、社会主义、维护祖国统一和民族团结的自我教育，支持和帮助宗教团体培养教育宗教教职人员，做好爱国宗教人士带培工作；办理宗教团体需由政府解决或协调的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11.负责和静县民族、宗教方面的涉外工作，会同有关部门开展民族宗教政策及法律法规的对外宣传；负责组织开展国家、自治区、自治州有关朝觐政策的宣传教育活动；负责有组织朝觐和制止零散朝觐工作。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负责全县的民族团结进步模范创建工作，对和静县贯彻落实党和国家、自治区、自治州有关民族政策、法律法规以及民族团结进步模范创建工作情况进行督导、检查，组织开展民族团结进步模范创建活动的考核、验收和挂牌工作，承办民族团结进步模范表彰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13.贯彻执行国家、自治区、自治州关于语言文字工作的方针、政策和法律、法规；制定全县语言文字工作的规划和措施；对全县民汉两种文字行文和民汉两种语言的使用情况依法进行监督；负责推广普及国家通用的普通话、规范汉字和规范的少数民族语言文字；负责管理全县各民族语言文字规范化、标准化、信息化工作和全县语言文字的社会应用；制定全县“双语”学习工作发展规划、具体措施并提出表彰奖励办法；协调、指导全县开展“双语”学习活动。主管全县少数民族语言文字翻译工作；承担少数民族语言文字翻译专业人才培训工作；组织全县少数民族语言文字翻译职称评定工作；组织实施全县普通话水平测试、规范汉字和少数民族语言正字、正音的培训和测试工作；监督检查各乡镇、各部门执行语言文字政策、法规和开展语言文字工作的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14.承办和静县人民政府交办的其他事项。</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 xml:space="preserve">和静民宗委无下属单位，下设3个科室，分别是：行政办公室，民族事务股，宗教事务股。 </w:t>
      </w:r>
      <w:r>
        <w:rPr>
          <w:rStyle w:val="19"/>
          <w:rFonts w:hint="eastAsia" w:ascii="仿宋_GB2312" w:hAnsi="仿宋_GB2312" w:eastAsia="仿宋_GB2312" w:cs="仿宋_GB2312"/>
          <w:b w:val="0"/>
          <w:spacing w:val="-4"/>
          <w:sz w:val="32"/>
          <w:szCs w:val="32"/>
          <w:lang w:eastAsia="zh-CN"/>
        </w:rPr>
        <w:t>新疆巴州和静县民族宗教事务委员会</w:t>
      </w:r>
      <w:r>
        <w:rPr>
          <w:rStyle w:val="19"/>
          <w:rFonts w:hint="eastAsia" w:ascii="仿宋_GB2312" w:hAnsi="仿宋_GB2312" w:eastAsia="仿宋_GB2312" w:cs="仿宋_GB2312"/>
          <w:b w:val="0"/>
          <w:spacing w:val="-4"/>
          <w:sz w:val="32"/>
          <w:szCs w:val="32"/>
        </w:rPr>
        <w:t>编制数13个，实有人数 11 人，其中：在职  11人，减少2人，因人事调整调出两人； 退休8 人，增加或减少 0人，本年度；离休 0 人，增加或减少0人。</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机构情况：2018年度，纳入本部门决算汇编范围的独立核算单位共1个，比上年增减0个。</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人员情况：2018年，我单位定编人数11 人，比上年增加 0 个编，增长 0  %。 实有人员情况。2017年我单位年末实有人数11人，比上年增加  0 人。</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（二）项目预算绩效目标设定情况</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实施民运会工作经费主要目标是深入推进我县少数民族传统体育运动会持续发展，该项目由民宗委及文广局联合主办、地方承办，每4年举行一届。该项赛事以其民族性、广泛性和业余性等特色，已成为全疆较有影响的大型综合性体育运动会之一。近年来，民族运动会沿着继承革新、继往开来的方向迈进，发掘了一大批新项目，并在探索普及与提高结合、群众性与专业化结合、传统体育与现代体育结合、民族性与世界性结合的道路上取得了可喜的进步，使少数民族传统体育走上了普及、提高、规范、科学的道路。</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二、项目资金使用及管理情况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（一）项目资金安排落实、总投入等情况分析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2018年投入我县农牧民运动员参加自治区民运会经费3万元。</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（二）项目资金实际使用情况分析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项目实际使用财政资金3万元，用于参赛运动员购买服装费、车费等相关费用3万元 。</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（三）项目资金管理情况分析。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县民宗委对经费的使用建立收支台账并安排专人负责。连续记载各类财政资金收支的时间、金额和用途，对资金使用情况按月报单位办公室，并对上报内容的真实性、完整性和准确性负责。为民运会经费在委员会“三重一大”会议研究决定的基础上，单笔超过5000元的报单位办公室审核。</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三、项目组织实施情况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（一）项目组织情况分析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项目的主要内容是用于推进少数民族运动项目深入发展；</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主要用于将我县筛选出的蒙古式摔跤、赛马、马术等各类少数民族运动项目参加本届在伊犁州举办的少数民族运动会。</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管理制度：当年本专项经费开支前，由民宗委按照本本届自治区民运会预算预算上报全年支出计划，并报我委财务负责人审核后，报单位会议研究批复后执行。为确保项目顺利实施，经费支出采取“一事一报告”的审批制度，由财务负责人审核批复后执行。支出报账时，由项目负责人提供批复审核报告，经本单位财务负责人签字，凭据报销（发票由经办项目人员签字），由财务室办理报账手续。</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经费监督：专项经费是指本单位组织实施我县少数民族运动员参加民运会活动期间用于活动经费项目所需的资金。专项经费不得用于规定范围以外的项目，严禁以任何方式牟取私利，确保专款专用。</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四、项目绩效情况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（一）项目绩效目标完成情况分析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lang w:eastAsia="zh-CN"/>
        </w:rPr>
        <w:t>新疆巴州和静县民族宗教事务委员会</w:t>
      </w:r>
      <w:r>
        <w:rPr>
          <w:rStyle w:val="19"/>
          <w:rFonts w:hint="eastAsia" w:ascii="仿宋_GB2312" w:hAnsi="仿宋_GB2312" w:eastAsia="仿宋_GB2312" w:cs="仿宋_GB2312"/>
          <w:b w:val="0"/>
          <w:spacing w:val="-4"/>
          <w:sz w:val="32"/>
          <w:szCs w:val="32"/>
        </w:rPr>
        <w:t>支付运动员服装费、车费等相关费用计3万元，进一步丰富了农牧民业余文化生活。</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（二）项目绩效目标未完成原因分析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项目已完成。</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五、其他需要说明的问题</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（一）后续工作计划</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今后的工作，深入扎实开展少数民族运动会项目，做好每届我县组织少数民族运动员参加自治区民运会，做好服务管理工作，确保我县能在每届少数民族农牧民运动会上取得好的成绩，带头抓好整改落实。</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（二）主要经验及做法、存在问题和建议</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无</w:t>
      </w:r>
    </w:p>
    <w:p>
      <w:pPr>
        <w:widowControl/>
        <w:tabs>
          <w:tab w:val="left" w:pos="6510"/>
        </w:tabs>
        <w:spacing w:before="100" w:beforeAutospacing="1" w:after="100" w:afterAutospacing="1" w:line="600" w:lineRule="exact"/>
        <w:ind w:firstLine="643" w:firstLineChars="200"/>
        <w:jc w:val="left"/>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（三）其他</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无</w:t>
      </w:r>
    </w:p>
    <w:p>
      <w:pPr>
        <w:spacing w:line="600" w:lineRule="exact"/>
        <w:ind w:firstLine="640"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kern w:val="0"/>
          <w:sz w:val="32"/>
          <w:szCs w:val="32"/>
          <w:shd w:val="clear" w:color="auto" w:fill="FFFFFF"/>
        </w:rPr>
        <w:t>六</w:t>
      </w:r>
      <w:r>
        <w:rPr>
          <w:rFonts w:hint="eastAsia" w:ascii="方正黑体_GBK" w:hAnsi="方正黑体_GBK" w:eastAsia="方正黑体_GBK" w:cs="方正黑体_GBK"/>
          <w:b/>
          <w:bCs/>
          <w:kern w:val="0"/>
          <w:sz w:val="32"/>
          <w:szCs w:val="32"/>
          <w:shd w:val="clear" w:color="auto" w:fill="FFFFFF"/>
        </w:rPr>
        <w:t>、项目评价工作情况</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包括评价基础数据收集、资料来源和依据等佐证材料情况，项目现场勘验检查核实等情况。</w:t>
      </w:r>
    </w:p>
    <w:p>
      <w:pPr>
        <w:spacing w:line="600" w:lineRule="exact"/>
        <w:ind w:firstLine="640" w:firstLineChars="200"/>
        <w:rPr>
          <w:rFonts w:ascii="方正黑体_GBK" w:hAnsi="方正黑体_GBK" w:eastAsia="方正黑体_GBK" w:cs="方正黑体_GBK"/>
          <w:kern w:val="0"/>
          <w:sz w:val="32"/>
          <w:szCs w:val="32"/>
          <w:shd w:val="clear" w:color="auto" w:fill="FFFFFF"/>
        </w:rPr>
      </w:pPr>
      <w:r>
        <w:rPr>
          <w:rFonts w:hint="eastAsia" w:ascii="方正黑体_GBK" w:hAnsi="方正黑体_GBK" w:eastAsia="方正黑体_GBK" w:cs="方正黑体_GBK"/>
          <w:kern w:val="0"/>
          <w:sz w:val="32"/>
          <w:szCs w:val="32"/>
          <w:shd w:val="clear" w:color="auto" w:fill="FFFFFF"/>
        </w:rPr>
        <w:t>七、附表</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w:t>
      </w:r>
      <w:r>
        <w:rPr>
          <w:rFonts w:hint="eastAsia" w:ascii="仿宋_GB2312" w:hAnsi="仿宋_GB2312" w:eastAsia="仿宋_GB2312" w:cs="仿宋_GB2312"/>
          <w:kern w:val="0"/>
          <w:sz w:val="32"/>
          <w:szCs w:val="32"/>
          <w:shd w:val="clear" w:color="auto" w:fill="FFFFFF"/>
          <w:lang w:eastAsia="zh-CN"/>
        </w:rPr>
        <w:t>新疆巴州和静县民族宗教事务委员会</w:t>
      </w:r>
      <w:r>
        <w:rPr>
          <w:rFonts w:hint="eastAsia" w:ascii="仿宋_GB2312" w:hAnsi="仿宋_GB2312" w:eastAsia="仿宋_GB2312" w:cs="仿宋_GB2312"/>
          <w:kern w:val="0"/>
          <w:sz w:val="32"/>
          <w:szCs w:val="32"/>
          <w:shd w:val="clear" w:color="auto" w:fill="FFFFFF"/>
        </w:rPr>
        <w:t>财政项目支出绩效自评表》</w:t>
      </w: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17"/>
        <w:tblpPr w:leftFromText="180" w:rightFromText="180" w:horzAnchor="margin" w:tblpXSpec="center" w:tblpY="-555"/>
        <w:tblW w:w="9920" w:type="dxa"/>
        <w:tblInd w:w="0" w:type="dxa"/>
        <w:tblLayout w:type="autofit"/>
        <w:tblCellMar>
          <w:top w:w="0" w:type="dxa"/>
          <w:left w:w="108" w:type="dxa"/>
          <w:bottom w:w="0" w:type="dxa"/>
          <w:right w:w="108" w:type="dxa"/>
        </w:tblCellMar>
      </w:tblPr>
      <w:tblGrid>
        <w:gridCol w:w="1080"/>
        <w:gridCol w:w="1080"/>
        <w:gridCol w:w="1080"/>
        <w:gridCol w:w="1080"/>
        <w:gridCol w:w="1080"/>
        <w:gridCol w:w="1080"/>
        <w:gridCol w:w="1280"/>
        <w:gridCol w:w="1080"/>
        <w:gridCol w:w="1080"/>
      </w:tblGrid>
      <w:tr>
        <w:tblPrEx>
          <w:tblCellMar>
            <w:top w:w="0" w:type="dxa"/>
            <w:left w:w="108" w:type="dxa"/>
            <w:bottom w:w="0" w:type="dxa"/>
            <w:right w:w="108" w:type="dxa"/>
          </w:tblCellMar>
        </w:tblPrEx>
        <w:trPr>
          <w:trHeight w:val="405" w:hRule="atLeast"/>
        </w:trPr>
        <w:tc>
          <w:tcPr>
            <w:tcW w:w="9920" w:type="dxa"/>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u w:val="single"/>
              </w:rPr>
            </w:pPr>
            <w:r>
              <w:rPr>
                <w:rFonts w:hint="eastAsia" w:ascii="宋体" w:hAnsi="宋体" w:cs="宋体"/>
                <w:b/>
                <w:bCs/>
                <w:kern w:val="0"/>
                <w:sz w:val="32"/>
                <w:szCs w:val="32"/>
                <w:u w:val="single"/>
                <w:lang w:eastAsia="zh-CN"/>
              </w:rPr>
              <w:t>新疆巴州和静县民族宗教事务委员会</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920" w:type="dxa"/>
            <w:gridSpan w:val="9"/>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CellMar>
            <w:top w:w="0" w:type="dxa"/>
            <w:left w:w="108" w:type="dxa"/>
            <w:bottom w:w="0" w:type="dxa"/>
            <w:right w:w="108" w:type="dxa"/>
          </w:tblCellMar>
        </w:tblPrEx>
        <w:trPr>
          <w:trHeight w:val="315" w:hRule="atLeast"/>
        </w:trPr>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3440" w:type="dxa"/>
            <w:gridSpan w:val="3"/>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315" w:hRule="atLeast"/>
        </w:trPr>
        <w:tc>
          <w:tcPr>
            <w:tcW w:w="324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68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新疆巴州和静县民族宗教事务委员会</w:t>
            </w:r>
            <w:r>
              <w:rPr>
                <w:rFonts w:hint="eastAsia" w:ascii="宋体" w:hAnsi="宋体" w:cs="宋体"/>
                <w:kern w:val="0"/>
                <w:sz w:val="20"/>
                <w:szCs w:val="20"/>
              </w:rPr>
              <w:t>民运会工作经费</w:t>
            </w:r>
          </w:p>
        </w:tc>
      </w:tr>
      <w:tr>
        <w:tblPrEx>
          <w:tblCellMar>
            <w:top w:w="0" w:type="dxa"/>
            <w:left w:w="108" w:type="dxa"/>
            <w:bottom w:w="0" w:type="dxa"/>
            <w:right w:w="108" w:type="dxa"/>
          </w:tblCellMar>
        </w:tblPrEx>
        <w:trPr>
          <w:trHeight w:val="315" w:hRule="atLeast"/>
        </w:trPr>
        <w:tc>
          <w:tcPr>
            <w:tcW w:w="324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68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新疆巴州和静县民族宗教事务委员会</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p>
        </w:tc>
        <w:tc>
          <w:tcPr>
            <w:tcW w:w="2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预算数：</w:t>
            </w:r>
          </w:p>
        </w:tc>
        <w:tc>
          <w:tcPr>
            <w:tcW w:w="32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23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执行数：</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w:t>
            </w:r>
          </w:p>
        </w:tc>
        <w:tc>
          <w:tcPr>
            <w:tcW w:w="21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3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情况</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23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23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p>
        </w:tc>
        <w:tc>
          <w:tcPr>
            <w:tcW w:w="5400"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目标</w:t>
            </w:r>
          </w:p>
        </w:tc>
        <w:tc>
          <w:tcPr>
            <w:tcW w:w="5400"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4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完成</w:t>
            </w:r>
          </w:p>
        </w:tc>
        <w:tc>
          <w:tcPr>
            <w:tcW w:w="5400"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4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129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情况</w:t>
            </w:r>
          </w:p>
        </w:tc>
        <w:tc>
          <w:tcPr>
            <w:tcW w:w="5400" w:type="dxa"/>
            <w:gridSpan w:val="5"/>
            <w:tcBorders>
              <w:top w:val="single" w:color="auto" w:sz="4" w:space="0"/>
              <w:left w:val="nil"/>
              <w:bottom w:val="single" w:color="auto" w:sz="4" w:space="0"/>
              <w:right w:val="single" w:color="auto" w:sz="4" w:space="0"/>
            </w:tcBorders>
            <w:shd w:val="clear" w:color="auto" w:fill="auto"/>
          </w:tcPr>
          <w:p>
            <w:pPr>
              <w:widowControl/>
              <w:jc w:val="left"/>
              <w:rPr>
                <w:rFonts w:ascii="仿宋" w:hAnsi="仿宋" w:eastAsia="仿宋" w:cs="宋体"/>
                <w:kern w:val="0"/>
                <w:szCs w:val="21"/>
              </w:rPr>
            </w:pPr>
            <w:r>
              <w:rPr>
                <w:rFonts w:hint="eastAsia" w:ascii="仿宋" w:hAnsi="仿宋" w:eastAsia="仿宋" w:cs="宋体"/>
                <w:kern w:val="0"/>
                <w:szCs w:val="21"/>
              </w:rPr>
              <w:t>项目经费主要用于推进少数民族运动项目深入发展，将我县筛选出的蒙古式摔跤、赛马、马术等各类少数民族运动项目参加本届在伊犁州举办的少数民族运动会，该项目已在本年度如期完成，项目已到达了预期的项目效果。</w:t>
            </w:r>
          </w:p>
        </w:tc>
        <w:tc>
          <w:tcPr>
            <w:tcW w:w="3440" w:type="dxa"/>
            <w:gridSpan w:val="3"/>
            <w:tcBorders>
              <w:top w:val="single" w:color="auto" w:sz="4" w:space="0"/>
              <w:left w:val="nil"/>
              <w:bottom w:val="single" w:color="auto" w:sz="4" w:space="0"/>
              <w:right w:val="single" w:color="auto" w:sz="4" w:space="0"/>
            </w:tcBorders>
            <w:shd w:val="clear" w:color="auto" w:fill="auto"/>
          </w:tcPr>
          <w:p>
            <w:pPr>
              <w:widowControl/>
              <w:jc w:val="left"/>
              <w:rPr>
                <w:rFonts w:ascii="仿宋" w:hAnsi="仿宋" w:eastAsia="仿宋" w:cs="宋体"/>
                <w:kern w:val="0"/>
                <w:szCs w:val="21"/>
              </w:rPr>
            </w:pPr>
            <w:r>
              <w:rPr>
                <w:rFonts w:hint="eastAsia" w:ascii="仿宋" w:hAnsi="仿宋" w:eastAsia="仿宋" w:cs="宋体"/>
                <w:kern w:val="0"/>
                <w:szCs w:val="21"/>
              </w:rPr>
              <w:t>通过此次活动，参赛运动员为我县赢得了3枚奖牌。</w:t>
            </w:r>
          </w:p>
        </w:tc>
      </w:tr>
      <w:tr>
        <w:tblPrEx>
          <w:tblCellMar>
            <w:top w:w="0" w:type="dxa"/>
            <w:left w:w="108" w:type="dxa"/>
            <w:bottom w:w="0" w:type="dxa"/>
            <w:right w:w="108" w:type="dxa"/>
          </w:tblCellMar>
        </w:tblPrEx>
        <w:trPr>
          <w:trHeight w:val="99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绩效</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摔跤手</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≤11人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11人</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民族健身操参赛人数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≤17人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17人</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完成</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教练人数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2人</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情况</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工作人员</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2人</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活动经费使用率</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选报运动项目参与率</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活动获奖人数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3人</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活动准备开始时间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2018年1月</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活动结束时间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2018年12月</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民族式摔跤</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1.5万元</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民族健身操</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1.5万元</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提升民族团结凝聚率</w:t>
            </w:r>
          </w:p>
        </w:tc>
        <w:tc>
          <w:tcPr>
            <w:tcW w:w="128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提升民运会知晓率</w:t>
            </w:r>
          </w:p>
        </w:tc>
        <w:tc>
          <w:tcPr>
            <w:tcW w:w="128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一代影响一代率</w:t>
            </w:r>
          </w:p>
        </w:tc>
        <w:tc>
          <w:tcPr>
            <w:tcW w:w="128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提高全民健身参与率</w:t>
            </w:r>
          </w:p>
        </w:tc>
        <w:tc>
          <w:tcPr>
            <w:tcW w:w="128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≥90%</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r>
      <w:tr>
        <w:tblPrEx>
          <w:tblCellMar>
            <w:top w:w="0" w:type="dxa"/>
            <w:left w:w="108" w:type="dxa"/>
            <w:bottom w:w="0" w:type="dxa"/>
            <w:right w:w="108" w:type="dxa"/>
          </w:tblCellMar>
        </w:tblPrEx>
        <w:trPr>
          <w:trHeight w:val="342"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满意度指标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参赛运动员满意率</w:t>
            </w:r>
          </w:p>
        </w:tc>
        <w:tc>
          <w:tcPr>
            <w:tcW w:w="128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≥98%</w:t>
            </w:r>
          </w:p>
        </w:tc>
      </w:tr>
    </w:tbl>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方正小标宋简体"/>
    <w:panose1 w:val="03000509000000000000"/>
    <w:charset w:val="86"/>
    <w:family w:val="script"/>
    <w:pitch w:val="default"/>
    <w:sig w:usb0="00000000" w:usb1="00000000" w:usb2="00000000" w:usb3="00000000" w:csb0="00040000" w:csb1="00000000"/>
  </w:font>
  <w:font w:name="方正楷体_GBK">
    <w:altName w:val="方正小标宋简体"/>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10</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CA6457"/>
    <w:rsid w:val="00056465"/>
    <w:rsid w:val="000C13C9"/>
    <w:rsid w:val="000C7AC6"/>
    <w:rsid w:val="000E5FCB"/>
    <w:rsid w:val="001071D5"/>
    <w:rsid w:val="00121AE4"/>
    <w:rsid w:val="00132D75"/>
    <w:rsid w:val="00146AAD"/>
    <w:rsid w:val="00180A65"/>
    <w:rsid w:val="00197821"/>
    <w:rsid w:val="001B3A40"/>
    <w:rsid w:val="002574E5"/>
    <w:rsid w:val="00265EBB"/>
    <w:rsid w:val="002E590A"/>
    <w:rsid w:val="00326FD7"/>
    <w:rsid w:val="00386F9D"/>
    <w:rsid w:val="003908B7"/>
    <w:rsid w:val="003C6A8E"/>
    <w:rsid w:val="004304FE"/>
    <w:rsid w:val="004366A8"/>
    <w:rsid w:val="00436F7E"/>
    <w:rsid w:val="0044478A"/>
    <w:rsid w:val="004520BF"/>
    <w:rsid w:val="004A2870"/>
    <w:rsid w:val="00502BA7"/>
    <w:rsid w:val="005162F1"/>
    <w:rsid w:val="00530EC3"/>
    <w:rsid w:val="00535153"/>
    <w:rsid w:val="00554F82"/>
    <w:rsid w:val="00557407"/>
    <w:rsid w:val="0056390D"/>
    <w:rsid w:val="005719B0"/>
    <w:rsid w:val="005D10D6"/>
    <w:rsid w:val="005D2183"/>
    <w:rsid w:val="00616FCA"/>
    <w:rsid w:val="00635ED5"/>
    <w:rsid w:val="00691866"/>
    <w:rsid w:val="0069633C"/>
    <w:rsid w:val="006E6BB4"/>
    <w:rsid w:val="0070637A"/>
    <w:rsid w:val="00743B81"/>
    <w:rsid w:val="00770626"/>
    <w:rsid w:val="007A6592"/>
    <w:rsid w:val="007D56EC"/>
    <w:rsid w:val="00831374"/>
    <w:rsid w:val="00855E3A"/>
    <w:rsid w:val="00903CB6"/>
    <w:rsid w:val="00922CB9"/>
    <w:rsid w:val="0092573B"/>
    <w:rsid w:val="00943BA1"/>
    <w:rsid w:val="0095353D"/>
    <w:rsid w:val="009564B6"/>
    <w:rsid w:val="009B2729"/>
    <w:rsid w:val="009E5CD9"/>
    <w:rsid w:val="00A26421"/>
    <w:rsid w:val="00A367D9"/>
    <w:rsid w:val="00A4293B"/>
    <w:rsid w:val="00A67D50"/>
    <w:rsid w:val="00A8691A"/>
    <w:rsid w:val="00AA5208"/>
    <w:rsid w:val="00AC1946"/>
    <w:rsid w:val="00AD6524"/>
    <w:rsid w:val="00B1063E"/>
    <w:rsid w:val="00B3358C"/>
    <w:rsid w:val="00B40063"/>
    <w:rsid w:val="00B41F61"/>
    <w:rsid w:val="00BA46E6"/>
    <w:rsid w:val="00C06BE3"/>
    <w:rsid w:val="00C32CF6"/>
    <w:rsid w:val="00C56C72"/>
    <w:rsid w:val="00C66FAC"/>
    <w:rsid w:val="00CA17BD"/>
    <w:rsid w:val="00CA6457"/>
    <w:rsid w:val="00CC7C0F"/>
    <w:rsid w:val="00CE3D94"/>
    <w:rsid w:val="00D16AF4"/>
    <w:rsid w:val="00D17F2E"/>
    <w:rsid w:val="00D30076"/>
    <w:rsid w:val="00D30354"/>
    <w:rsid w:val="00D926BD"/>
    <w:rsid w:val="00DF42A0"/>
    <w:rsid w:val="00E00D00"/>
    <w:rsid w:val="00E02E54"/>
    <w:rsid w:val="00E16FE1"/>
    <w:rsid w:val="00E3020A"/>
    <w:rsid w:val="00E769FE"/>
    <w:rsid w:val="00E86DF9"/>
    <w:rsid w:val="00E919AE"/>
    <w:rsid w:val="00EA2CBE"/>
    <w:rsid w:val="00EA3720"/>
    <w:rsid w:val="00F32FEE"/>
    <w:rsid w:val="00F3513D"/>
    <w:rsid w:val="00F4074A"/>
    <w:rsid w:val="00F40ED9"/>
    <w:rsid w:val="00F54388"/>
    <w:rsid w:val="00FB10BB"/>
    <w:rsid w:val="00FE1002"/>
    <w:rsid w:val="0B3A4164"/>
    <w:rsid w:val="0BD821F7"/>
    <w:rsid w:val="0D171B29"/>
    <w:rsid w:val="0DFF22E3"/>
    <w:rsid w:val="14716E17"/>
    <w:rsid w:val="183D0A65"/>
    <w:rsid w:val="1BF93ABE"/>
    <w:rsid w:val="31B922E9"/>
    <w:rsid w:val="34183DA9"/>
    <w:rsid w:val="367A3AFE"/>
    <w:rsid w:val="36862882"/>
    <w:rsid w:val="39D5148A"/>
    <w:rsid w:val="3B8477CE"/>
    <w:rsid w:val="3C182B36"/>
    <w:rsid w:val="3F661879"/>
    <w:rsid w:val="42860A4B"/>
    <w:rsid w:val="44F64732"/>
    <w:rsid w:val="4C7E0D01"/>
    <w:rsid w:val="4DF77819"/>
    <w:rsid w:val="51784713"/>
    <w:rsid w:val="54491322"/>
    <w:rsid w:val="55DC5939"/>
    <w:rsid w:val="5BA074DC"/>
    <w:rsid w:val="5D555B07"/>
    <w:rsid w:val="601B53DB"/>
    <w:rsid w:val="60BF3E29"/>
    <w:rsid w:val="67EB6632"/>
    <w:rsid w:val="69F97DE3"/>
    <w:rsid w:val="6A96693E"/>
    <w:rsid w:val="6F1A04DE"/>
    <w:rsid w:val="70C263C7"/>
    <w:rsid w:val="714C69CB"/>
    <w:rsid w:val="71974550"/>
    <w:rsid w:val="75EC4019"/>
    <w:rsid w:val="7746495C"/>
    <w:rsid w:val="7F987CA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qFormat/>
    <w:uiPriority w:val="99"/>
    <w:rPr>
      <w:sz w:val="18"/>
      <w:szCs w:val="18"/>
    </w:rPr>
  </w:style>
  <w:style w:type="paragraph" w:styleId="12">
    <w:name w:val="footer"/>
    <w:basedOn w:val="1"/>
    <w:link w:val="45"/>
    <w:uiPriority w:val="99"/>
    <w:pPr>
      <w:tabs>
        <w:tab w:val="center" w:pos="4153"/>
        <w:tab w:val="right" w:pos="8306"/>
      </w:tabs>
      <w:snapToGrid w:val="0"/>
      <w:jc w:val="left"/>
    </w:pPr>
    <w:rPr>
      <w:rFonts w:ascii="Calibri" w:hAnsi="Calibri"/>
      <w:sz w:val="18"/>
      <w:szCs w:val="18"/>
    </w:rPr>
  </w:style>
  <w:style w:type="paragraph" w:styleId="13">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99"/>
    <w:pPr>
      <w:widowControl/>
      <w:spacing w:after="60"/>
      <w:jc w:val="center"/>
      <w:outlineLvl w:val="1"/>
    </w:pPr>
    <w:rPr>
      <w:rFonts w:ascii="Cambria" w:hAnsi="Cambr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0"/>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qFormat/>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qFormat/>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qFormat/>
    <w:locked/>
    <w:uiPriority w:val="99"/>
    <w:rPr>
      <w:rFonts w:cs="Times New Roman"/>
      <w:i/>
      <w:iCs/>
      <w:sz w:val="24"/>
      <w:szCs w:val="24"/>
    </w:rPr>
  </w:style>
  <w:style w:type="character" w:customStyle="1" w:styleId="29">
    <w:name w:val="标题 9 Char"/>
    <w:basedOn w:val="18"/>
    <w:link w:val="10"/>
    <w:semiHidden/>
    <w:qFormat/>
    <w:locked/>
    <w:uiPriority w:val="99"/>
    <w:rPr>
      <w:rFonts w:ascii="Cambria" w:hAnsi="Cambria" w:eastAsia="宋体" w:cs="Times New Roman"/>
    </w:rPr>
  </w:style>
  <w:style w:type="character" w:customStyle="1" w:styleId="30">
    <w:name w:val="标题 Char"/>
    <w:basedOn w:val="18"/>
    <w:link w:val="16"/>
    <w:qFormat/>
    <w:locked/>
    <w:uiPriority w:val="99"/>
    <w:rPr>
      <w:rFonts w:ascii="Cambria" w:hAnsi="Cambria" w:eastAsia="宋体" w:cs="Times New Roman"/>
      <w:b/>
      <w:bCs/>
      <w:kern w:val="28"/>
      <w:sz w:val="32"/>
      <w:szCs w:val="32"/>
    </w:rPr>
  </w:style>
  <w:style w:type="character" w:customStyle="1" w:styleId="31">
    <w:name w:val="副标题 Char"/>
    <w:basedOn w:val="18"/>
    <w:link w:val="14"/>
    <w:qFormat/>
    <w:locked/>
    <w:uiPriority w:val="99"/>
    <w:rPr>
      <w:rFonts w:ascii="Cambria" w:hAnsi="Cambria" w:eastAsia="宋体" w:cs="Times New Roman"/>
      <w:sz w:val="24"/>
      <w:szCs w:val="24"/>
    </w:rPr>
  </w:style>
  <w:style w:type="paragraph" w:customStyle="1" w:styleId="32">
    <w:name w:val="无间隔1"/>
    <w:basedOn w:val="1"/>
    <w:qFormat/>
    <w:uiPriority w:val="99"/>
    <w:pPr>
      <w:widowControl/>
      <w:jc w:val="left"/>
    </w:pPr>
    <w:rPr>
      <w:rFonts w:ascii="Calibri" w:hAnsi="Calibri"/>
      <w:kern w:val="0"/>
      <w:sz w:val="24"/>
      <w:szCs w:val="32"/>
      <w:lang w:eastAsia="en-US"/>
    </w:rPr>
  </w:style>
  <w:style w:type="paragraph" w:customStyle="1" w:styleId="33">
    <w:name w:val="列出段落1"/>
    <w:basedOn w:val="1"/>
    <w:qFormat/>
    <w:uiPriority w:val="99"/>
    <w:pPr>
      <w:widowControl/>
      <w:ind w:left="720"/>
      <w:contextualSpacing/>
      <w:jc w:val="left"/>
    </w:pPr>
    <w:rPr>
      <w:rFonts w:ascii="Calibri" w:hAnsi="Calibri"/>
      <w:kern w:val="0"/>
      <w:sz w:val="24"/>
      <w:lang w:eastAsia="en-US"/>
    </w:rPr>
  </w:style>
  <w:style w:type="paragraph" w:customStyle="1" w:styleId="34">
    <w:name w:val="引用1"/>
    <w:basedOn w:val="1"/>
    <w:next w:val="1"/>
    <w:link w:val="35"/>
    <w:qFormat/>
    <w:uiPriority w:val="99"/>
    <w:pPr>
      <w:widowControl/>
      <w:jc w:val="left"/>
    </w:pPr>
    <w:rPr>
      <w:rFonts w:ascii="Calibri" w:hAnsi="Calibri"/>
      <w:i/>
      <w:kern w:val="0"/>
      <w:sz w:val="24"/>
    </w:rPr>
  </w:style>
  <w:style w:type="character" w:customStyle="1" w:styleId="35">
    <w:name w:val="Quote Char"/>
    <w:basedOn w:val="18"/>
    <w:link w:val="34"/>
    <w:qFormat/>
    <w:locked/>
    <w:uiPriority w:val="99"/>
    <w:rPr>
      <w:rFonts w:cs="Times New Roman"/>
      <w:i/>
      <w:sz w:val="24"/>
      <w:szCs w:val="24"/>
    </w:rPr>
  </w:style>
  <w:style w:type="paragraph" w:customStyle="1" w:styleId="36">
    <w:name w:val="明显引用1"/>
    <w:basedOn w:val="1"/>
    <w:next w:val="1"/>
    <w:link w:val="37"/>
    <w:qFormat/>
    <w:uiPriority w:val="99"/>
    <w:pPr>
      <w:widowControl/>
      <w:ind w:left="720" w:right="720"/>
      <w:jc w:val="left"/>
    </w:pPr>
    <w:rPr>
      <w:rFonts w:ascii="Calibri" w:hAnsi="Calibri"/>
      <w:b/>
      <w:i/>
      <w:kern w:val="0"/>
      <w:sz w:val="24"/>
      <w:szCs w:val="22"/>
    </w:rPr>
  </w:style>
  <w:style w:type="character" w:customStyle="1" w:styleId="37">
    <w:name w:val="Intense Quote Char"/>
    <w:basedOn w:val="18"/>
    <w:link w:val="36"/>
    <w:qFormat/>
    <w:locked/>
    <w:uiPriority w:val="99"/>
    <w:rPr>
      <w:rFonts w:cs="Times New Roman"/>
      <w:b/>
      <w:i/>
      <w:sz w:val="24"/>
    </w:rPr>
  </w:style>
  <w:style w:type="character" w:customStyle="1" w:styleId="38">
    <w:name w:val="不明显强调1"/>
    <w:basedOn w:val="18"/>
    <w:qFormat/>
    <w:uiPriority w:val="99"/>
    <w:rPr>
      <w:i/>
      <w:color w:val="5A5A5A"/>
    </w:rPr>
  </w:style>
  <w:style w:type="character" w:customStyle="1" w:styleId="39">
    <w:name w:val="明显强调1"/>
    <w:basedOn w:val="18"/>
    <w:qFormat/>
    <w:uiPriority w:val="99"/>
    <w:rPr>
      <w:rFonts w:cs="Times New Roman"/>
      <w:b/>
      <w:i/>
      <w:sz w:val="24"/>
      <w:szCs w:val="24"/>
      <w:u w:val="single"/>
    </w:rPr>
  </w:style>
  <w:style w:type="character" w:customStyle="1" w:styleId="40">
    <w:name w:val="不明显参考1"/>
    <w:basedOn w:val="18"/>
    <w:qFormat/>
    <w:uiPriority w:val="99"/>
    <w:rPr>
      <w:rFonts w:cs="Times New Roman"/>
      <w:sz w:val="24"/>
      <w:szCs w:val="24"/>
      <w:u w:val="single"/>
    </w:rPr>
  </w:style>
  <w:style w:type="character" w:customStyle="1" w:styleId="41">
    <w:name w:val="明显参考1"/>
    <w:basedOn w:val="18"/>
    <w:qFormat/>
    <w:uiPriority w:val="99"/>
    <w:rPr>
      <w:rFonts w:cs="Times New Roman"/>
      <w:b/>
      <w:sz w:val="24"/>
      <w:u w:val="single"/>
    </w:rPr>
  </w:style>
  <w:style w:type="character" w:customStyle="1" w:styleId="42">
    <w:name w:val="书籍标题1"/>
    <w:basedOn w:val="18"/>
    <w:qFormat/>
    <w:uiPriority w:val="99"/>
    <w:rPr>
      <w:rFonts w:ascii="Cambria" w:hAnsi="Cambria" w:eastAsia="宋体" w:cs="Times New Roman"/>
      <w:b/>
      <w:i/>
      <w:sz w:val="24"/>
      <w:szCs w:val="24"/>
    </w:rPr>
  </w:style>
  <w:style w:type="paragraph" w:customStyle="1" w:styleId="43">
    <w:name w:val="TOC 标题1"/>
    <w:basedOn w:val="2"/>
    <w:next w:val="1"/>
    <w:qFormat/>
    <w:uiPriority w:val="99"/>
    <w:pPr>
      <w:outlineLvl w:val="9"/>
    </w:pPr>
    <w:rPr>
      <w:lang w:eastAsia="en-US"/>
    </w:rPr>
  </w:style>
  <w:style w:type="character" w:customStyle="1" w:styleId="44">
    <w:name w:val="页眉 Char"/>
    <w:basedOn w:val="18"/>
    <w:link w:val="13"/>
    <w:qFormat/>
    <w:locked/>
    <w:uiPriority w:val="99"/>
    <w:rPr>
      <w:rFonts w:ascii="Calibri" w:hAnsi="Calibri" w:eastAsia="宋体" w:cs="Times New Roman"/>
      <w:kern w:val="2"/>
      <w:sz w:val="18"/>
      <w:szCs w:val="18"/>
    </w:rPr>
  </w:style>
  <w:style w:type="character" w:customStyle="1" w:styleId="45">
    <w:name w:val="页脚 Char"/>
    <w:basedOn w:val="18"/>
    <w:link w:val="12"/>
    <w:qFormat/>
    <w:locked/>
    <w:uiPriority w:val="99"/>
    <w:rPr>
      <w:rFonts w:ascii="Calibri" w:hAnsi="Calibri" w:eastAsia="宋体" w:cs="Times New Roman"/>
      <w:kern w:val="2"/>
      <w:sz w:val="18"/>
      <w:szCs w:val="18"/>
    </w:rPr>
  </w:style>
  <w:style w:type="character" w:customStyle="1" w:styleId="46">
    <w:name w:val="批注框文本 Char"/>
    <w:basedOn w:val="18"/>
    <w:link w:val="11"/>
    <w:semiHidden/>
    <w:qFormat/>
    <w:locked/>
    <w:uiPriority w:val="99"/>
    <w:rPr>
      <w:rFonts w:ascii="Times New Roman" w:hAnsi="Times New Roman" w:eastAsia="宋体" w:cs="Times New Roman"/>
      <w:kern w:val="2"/>
      <w:sz w:val="18"/>
      <w:szCs w:val="18"/>
    </w:rPr>
  </w:style>
  <w:style w:type="paragraph" w:customStyle="1" w:styleId="47">
    <w:name w:val="Char"/>
    <w:basedOn w:val="1"/>
    <w:qFormat/>
    <w:uiPriority w:val="99"/>
    <w:pPr>
      <w:spacing w:line="365" w:lineRule="atLeast"/>
      <w:ind w:left="1"/>
      <w:textAlignment w:val="bottom"/>
    </w:pPr>
    <w:rPr>
      <w:rFonts w:ascii="宋体" w:hAnsi="宋体" w:cs="Courier New"/>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E0468-4028-4D64-A33F-C7825275BD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619</Words>
  <Characters>3532</Characters>
  <Lines>29</Lines>
  <Paragraphs>8</Paragraphs>
  <TotalTime>126</TotalTime>
  <ScaleCrop>false</ScaleCrop>
  <LinksUpToDate>false</LinksUpToDate>
  <CharactersWithSpaces>4143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2021-05-29T12:09:05Z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AA5DAF267B2F46CEA995EE14A267E1C9</vt:lpwstr>
  </property>
</Properties>
</file>