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新疆巴州和静县财政项目支出绩效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（2018年度）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项目名称:访惠聚工作经费</w:t>
      </w:r>
    </w:p>
    <w:p>
      <w:pPr>
        <w:ind w:left="640" w:hanging="640" w:hanging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rPr>
        <w:t>实施单位（公章）：</w:t>
      </w:r>
      <w:r>
        <w:rPr>
          <w:rFonts w:hint="eastAsia" w:ascii="仿宋_GB2312" w:hAnsi="仿宋_GB2312" w:eastAsia="仿宋_GB2312" w:cs="仿宋_GB2312"/>
          <w:sz w:val="32"/>
          <w:szCs w:val="32"/>
          <w:lang w:eastAsia="zh-CN"/>
        </w:rPr>
        <w:t>和静县民族宗教事务委员会</w:t>
      </w:r>
    </w:p>
    <w:p>
      <w:pPr>
        <w:ind w:left="640" w:hanging="640" w:hangingChars="200"/>
        <w:jc w:val="left"/>
        <w:rPr>
          <w:rFonts w:hint="eastAsia" w:ascii="仿宋_GB2312" w:hAnsi="仿宋_GB2312" w:eastAsia="仿宋_GB2312" w:cs="仿宋_GB2312"/>
          <w:sz w:val="32"/>
          <w:szCs w:val="32"/>
          <w:lang w:eastAsia="zh-CN"/>
        </w:rPr>
      </w:pPr>
      <w:r>
        <w:rPr>
          <w:rFonts w:hint="eastAsia" w:ascii="仿宋_GB2312" w:hAnsi="仿宋_GB2312" w:eastAsia="仿宋_GB2312" w:cs="仿宋_GB2312"/>
          <w:kern w:val="0"/>
          <w:sz w:val="32"/>
          <w:szCs w:val="32"/>
        </w:rPr>
        <w:t>主管部门（公章）：</w:t>
      </w:r>
      <w:r>
        <w:rPr>
          <w:rFonts w:hint="eastAsia" w:ascii="仿宋_GB2312" w:hAnsi="仿宋_GB2312" w:eastAsia="仿宋_GB2312" w:cs="仿宋_GB2312"/>
          <w:sz w:val="32"/>
          <w:szCs w:val="32"/>
          <w:lang w:eastAsia="zh-CN"/>
        </w:rPr>
        <w:t>和静县民族宗教事务委员会</w:t>
      </w: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项目负责人（签章）：张先国</w:t>
      </w:r>
      <w:bookmarkStart w:id="0" w:name="_GoBack"/>
      <w:bookmarkEnd w:id="0"/>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填报时间：2019年1月24日</w:t>
      </w:r>
    </w:p>
    <w:p>
      <w:pPr>
        <w:spacing w:line="540" w:lineRule="exact"/>
        <w:jc w:val="center"/>
        <w:rPr>
          <w:rFonts w:ascii="仿宋_GB2312" w:hAnsi="仿宋_GB2312" w:eastAsia="仿宋_GB2312" w:cs="仿宋_GB2312"/>
          <w:kern w:val="0"/>
          <w:sz w:val="32"/>
          <w:szCs w:val="32"/>
        </w:rPr>
      </w:pPr>
    </w:p>
    <w:p>
      <w:pPr>
        <w:spacing w:line="540" w:lineRule="exact"/>
        <w:rPr>
          <w:rStyle w:val="19"/>
          <w:rFonts w:ascii="黑体" w:hAnsi="黑体" w:eastAsia="黑体"/>
          <w:b w:val="0"/>
          <w:spacing w:val="-4"/>
          <w:sz w:val="32"/>
          <w:szCs w:val="32"/>
        </w:rPr>
      </w:pP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一、项目概况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（一）项目单位基本情况</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kern w:val="0"/>
          <w:sz w:val="32"/>
          <w:szCs w:val="32"/>
          <w:shd w:val="clear" w:color="auto" w:fill="FFFFFF"/>
        </w:rPr>
        <w:t>主要职能：</w:t>
      </w:r>
      <w:r>
        <w:rPr>
          <w:rFonts w:hint="eastAsia" w:ascii="仿宋_GB2312" w:hAnsi="仿宋_GB2312" w:eastAsia="仿宋_GB2312" w:cs="仿宋_GB2312"/>
          <w:sz w:val="32"/>
          <w:szCs w:val="32"/>
        </w:rPr>
        <w:t>1.贯彻执行党中央、自治区、自治州党委、人民政府关于民族和宗教工作的方针、政策；组织开展民族宗教理论、民族宗教政策的宣传教育；组织开展民族宗教工作重大问题的调查研究并提出工作建议；研究并提出和静县有关民族、宗教工作的方针、政策，参与起草和静县有关民族宗教事务管理的单行条例，拟订规范性文件，健全和静县民族宗教管理体系。</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2.负责协调推动有关部门履行民族工作相关职责，促进民族政策在经济发展和社会事业有关领域的实施、衔接，对县市政府民族工作进行业务指导；监督实施和完善民族区域自治制度建设，监督办理少数民族权益保障事宜；参与组织民族自治地方庆典等活动。</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3.参与协调维护社会稳定工作，及时稳妥地解决民族间、宗教间、教派间发生的矛盾和纠纷，配合有关部门及时处理涉及民族宗教方面的突发事件和影响社会稳定的有关问题。</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4.参与制定和静县少数民族经济发展政策和规划，研究提出少数民族经济发展的特殊政策和措施；负责民族事务服务体系和民族事务管理信息化建设工作；负责和静县清真食品有关监督管理工作；组织调查研究农牧区、贫困地区少数民族经济发展中的有关问题，配合并承办扶贫事宜；会同有关部门协调做好与发达地区科技、经济技术协作和对口支援工作；负责管理少数民族地区补助费的分配使用，会同有关部门管理国家给予民族地区的专项贷款、专项资金和项目选报工作；会同有关部门做好和静县民族贸易企业和民族特需用品定点生产企业优惠政策的落实工作；协助解决民族乡、村经济、社会发展的特殊问题。负责少数民族经济和社会的统计与分析工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5.参与研究拟订少数民族文化、艺术、卫生、体育、新闻出版等方面的政策、规划，组织监督检查相关政策、措施的贯彻落实；组织协调举办和静县少数民族传统体育运动会；组织参加和静县少数民族传统体育运动会；指导民族古籍的搜集、整理、出版等工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6.负责对全县少数民族人权状况、妇女儿童状况和散杂居少数民族情况的调查研究工作，配合有关都门拟订我县少数民族人权情况报告等事宜。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7.参与拟订和静县少数民族人才队伍建设规划；掌握少数民族干部情况，协助有关部门做好少数民族干部的培养、教育和使用等工作；制定民族、宗教工作干部培训规划并组织落实。</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8.依法履行宗教事务管理职责，依法保护公民宗教信仰自由和正常的宗教活动，维护宗教界权益，促进宗教关系和睦。</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9.组织实施国家、自治区、自治州的宗教法律、法规和政策，引导、促进宗教在法律、法规和政策范围内活动；负责宗教事务管理方面的行政复议等法律事务。</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10.指导宗教团体依法依章开展活动，支持宗教团体加强自身建设；推动宗教团体在宗教界开展爱国主义、社会主义、维护祖国统一和民族团结的自我教育，支持和帮助宗教团体培养教育宗教教职人员，做好爱国宗教人士带培工作；办理宗教团体需由政府解决或协调的事务。</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11.负责和静县民族、宗教方面的涉外工作，会同有关部门开展民族宗教政策及法律法规的对外宣传；负责组织开展国家、自治区、自治州有关朝觐政策的宣传教育活动；负责有组织朝觐和制止零散朝觐工作。</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12.负责全县的民族团结进步模范创建工作，对和静县贯彻落实党和国家、自治区、自治州有关民族政策、法律法规以及民族团结进步模范创建工作情况进行督导、检查，组织开展民族团结进步模范创建活动的考核、验收和挂牌工作，承办民族团结进步模范表彰活动。</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13.贯彻执行国家、自治区、自治州关于语言文字工作的方针、政策和法律、法规；制定全县语言文字工作的规划和措施；对全县民汉两种文字行文和民汉两种语言的使用情况依法进行监督；负责推广普及国家通用的普通话、规范汉字和规范的少数民族语言文字；负责管理全县各民族语言文字规范化、标准化、信息化工作和全县语言文字的社会应用；制定全县“双语”学习工作发展规划、具体措施并提出表彰奖励办法；协调、指导全县开展“双语”学习活动。主管全县少数民族语言文字翻译工作；承担少数民族语言文字翻译专业人才培训工作；组织全县少数民族语言文字翻译职称评定工作；组织实施全县普通话水平测试、规范汉字和少数民族语言正字、正音的培训和测试工作；监督检查各乡镇、各部门执行语言文字政策、法规和开展语言文字工作的情况。</w:t>
      </w:r>
    </w:p>
    <w:p>
      <w:pPr>
        <w:widowControl/>
        <w:spacing w:line="600" w:lineRule="exact"/>
        <w:ind w:firstLine="640" w:firstLineChars="20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14.承办和静县人民政府交办的其他事项。</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 xml:space="preserve">和静民宗委无下属单位，下设3个科室，分别是：行政办公室，民族事务股，宗教事务股。 </w:t>
      </w:r>
      <w:r>
        <w:rPr>
          <w:rStyle w:val="19"/>
          <w:rFonts w:hint="eastAsia" w:ascii="仿宋_GB2312" w:hAnsi="仿宋_GB2312" w:eastAsia="仿宋_GB2312" w:cs="仿宋_GB2312"/>
          <w:b w:val="0"/>
          <w:spacing w:val="-4"/>
          <w:sz w:val="32"/>
          <w:szCs w:val="32"/>
          <w:lang w:eastAsia="zh-CN"/>
        </w:rPr>
        <w:t>新疆巴州和静县民族宗教事务委员会</w:t>
      </w:r>
      <w:r>
        <w:rPr>
          <w:rStyle w:val="19"/>
          <w:rFonts w:hint="eastAsia" w:ascii="仿宋_GB2312" w:hAnsi="仿宋_GB2312" w:eastAsia="仿宋_GB2312" w:cs="仿宋_GB2312"/>
          <w:b w:val="0"/>
          <w:spacing w:val="-4"/>
          <w:sz w:val="32"/>
          <w:szCs w:val="32"/>
        </w:rPr>
        <w:t>编制数13个，实有人数 11 人，其中：在职  11人，减少2人，因人事调整调出两人； 退休8 人，增加或减少 0人，本年度；离休 0 人，增加或减少0人。</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机构情况：2018年度，纳入本部门决算汇编范围的独立核算单位共1个，比上年增减0个。</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人员情况：2018年，我单位定编人数11 人，比上年增加 0 个编，增长 0  %。 实有人员情况。2017年我单位年末实有人数11人，比上年增加  0 人。</w:t>
      </w:r>
    </w:p>
    <w:p>
      <w:pPr>
        <w:numPr>
          <w:ilvl w:val="0"/>
          <w:numId w:val="1"/>
        </w:num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项目预算绩效目标设定情况</w:t>
      </w:r>
    </w:p>
    <w:p>
      <w:pPr>
        <w:spacing w:line="600" w:lineRule="exact"/>
        <w:ind w:firstLine="624" w:firstLineChars="200"/>
        <w:rPr>
          <w:rStyle w:val="19"/>
          <w:rFonts w:ascii="仿宋_GB2312" w:hAnsi="仿宋_GB2312" w:eastAsia="仿宋_GB2312" w:cs="仿宋_GB2312"/>
          <w:spacing w:val="-4"/>
          <w:sz w:val="32"/>
          <w:szCs w:val="32"/>
        </w:rPr>
      </w:pPr>
      <w:r>
        <w:rPr>
          <w:rStyle w:val="19"/>
          <w:rFonts w:hint="eastAsia" w:ascii="仿宋_GB2312" w:hAnsi="仿宋_GB2312" w:eastAsia="仿宋_GB2312" w:cs="仿宋_GB2312"/>
          <w:b w:val="0"/>
          <w:spacing w:val="-4"/>
          <w:sz w:val="32"/>
          <w:szCs w:val="32"/>
        </w:rPr>
        <w:t>为民办实事工作经费是贯彻落实自治区党委、政府推进驻村工作规范化、科学化、制度化、常态化的切实举措。</w:t>
      </w:r>
      <w:r>
        <w:rPr>
          <w:rStyle w:val="19"/>
          <w:rFonts w:hint="eastAsia" w:ascii="仿宋_GB2312" w:hAnsi="仿宋_GB2312" w:eastAsia="仿宋_GB2312" w:cs="仿宋_GB2312"/>
          <w:b w:val="0"/>
          <w:spacing w:val="-4"/>
          <w:sz w:val="32"/>
          <w:szCs w:val="32"/>
          <w:lang w:eastAsia="zh-CN"/>
        </w:rPr>
        <w:t>新疆巴州和静县民族宗教事务委员会</w:t>
      </w:r>
      <w:r>
        <w:rPr>
          <w:rStyle w:val="19"/>
          <w:rFonts w:hint="eastAsia" w:ascii="仿宋_GB2312" w:hAnsi="仿宋_GB2312" w:eastAsia="仿宋_GB2312" w:cs="仿宋_GB2312"/>
          <w:b w:val="0"/>
          <w:spacing w:val="-4"/>
          <w:sz w:val="32"/>
          <w:szCs w:val="32"/>
        </w:rPr>
        <w:t>为扎实持久开展好“访民情惠民生聚民心”驻社区工作，充分发挥为民办实事工作经费在“访惠聚”驻社区工作中的重要作用，确保为民办实事工作经费使用的安全性、规范性和实效性。2018年共拨付驻社区工作队为民办实事工作经费及第一书记为民办实事工作经费5.71万元。确保资金使用合法依规，结合工作实际，在反复沟通讨论后，对资金拨付、使用范围等进行了详尽的说明，不断提高为民办实事经费使用效益，全力保障驻社区工作队工作开展。</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二、项目资金使用及管理情况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（一）项目资金安排落实、总投入等情况分析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2018年投入访惠聚为民办实事工作经费、第一书记为民办实事工作经费5.71万元。</w:t>
      </w:r>
    </w:p>
    <w:p>
      <w:pPr>
        <w:spacing w:line="600" w:lineRule="exact"/>
        <w:ind w:firstLine="643" w:firstLineChars="200"/>
        <w:rPr>
          <w:rFonts w:ascii="宋体" w:hAnsi="宋体" w:cs="宋体"/>
          <w:b/>
          <w:bCs/>
          <w:kern w:val="0"/>
          <w:sz w:val="30"/>
          <w:szCs w:val="30"/>
          <w:shd w:val="clear" w:color="auto" w:fill="FFFFFF"/>
        </w:rPr>
      </w:pPr>
      <w:r>
        <w:rPr>
          <w:rFonts w:hint="eastAsia" w:ascii="方正楷体_GBK" w:hAnsi="方正楷体_GBK" w:eastAsia="方正楷体_GBK" w:cs="方正楷体_GBK"/>
          <w:b/>
          <w:bCs/>
          <w:kern w:val="0"/>
          <w:sz w:val="32"/>
          <w:szCs w:val="32"/>
          <w:shd w:val="clear" w:color="auto" w:fill="FFFFFF"/>
        </w:rPr>
        <w:t>（二）项目资金实际使用情况分析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和静县团结西路社区慰问贫困户、低保户、残疾人等困难群众购买粮油2.15万元；为困难群众子女购买书包、习近平用典书籍等0.41万元，开展民族团结等各类活动购买活动用品1.56万元；投入0.82万元为社区增添办公桌椅、打印机等；为社区购买办公用品、电费、燃气费等0.77万元。</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（三）项目资金管理情况分析。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各驻社区工作队对经费的使用建立收支台账并安排专人负责。连续记载各类财政资金收支的时间、金额和用途，对资金使用情况按月报单位办公室，并对上报内容的真实性、完整性和准确性负责。为民办实事经费在驻社区工作队与社区“两委”班子集体研究决定的基础上，单笔超过5000元的报单位办公室审核。</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三、项目组织实施情况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（一）项目组织情况分析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的主要内容是用于推进少数民族运动项目深入发展，主要用于将我县筛选出的蒙古式摔跤、赛马、马术等各类少数民族运动项目参加本届在伊犁州举办的少数民族运动会，该项目已在本年度如期完成，项目已到达了预期的项目效果。</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（二）项目管理情况分析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管理制度：当年本专项经费开支前，由委员会领导班子研究决定，为确保项目顺利实施，经费支出采取“一事一报告”的审批制度，由委员会财务负责人审核批复后执行。支出报账时，由委员会项目负责人提供批复审核报告，经民宗委财务负责人签字，凭据报销（发票由经办项目人员签字），由财务室办理报账手续。经费支出范围包括，参加运动会期间的车费、服装费等相关费用</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经费监督：专项经费是指民宗委实施活动期间用于参加活动期间项目所需的经费。专项经费不得用于规定范围以外的项目，不得用于工作组的个人项目支出；不得开支工作组人员奖金、津贴补贴和福利支出，严禁以任何方式牟取私利，确保专款专用。</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四、项目绩效情况</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（一）项目绩效目标完成情况分析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1. 投入和静县团结西路社区慰问贫困户、低保户、残疾人等困难群众购买粮油2.15万元；为困难群众子女购买书包、习近平用典书籍等0.41万元；一定程序上减轻了困难群众的生活困难，让群众切实感受到党和政府的关怀。</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2. 开展民族团结等各类活动购买活动用品1.56万元；进一步丰富了辖区居民的业余生活，促进了民族团结工作，让群众感受到党和政府的关怀，增强了群众的幸福感和满意度。</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3. 投入0.82万元为社区增添办公桌椅、打印机等；购买办公用品、电费、燃气费等0.77万元，改善了社区干部的工作条件。</w:t>
      </w:r>
    </w:p>
    <w:p>
      <w:pPr>
        <w:spacing w:line="600" w:lineRule="exact"/>
        <w:ind w:firstLine="602" w:firstLineChars="200"/>
        <w:rPr>
          <w:rFonts w:ascii="方正楷体_GBK" w:hAnsi="方正楷体_GBK" w:eastAsia="方正楷体_GBK" w:cs="方正楷体_GBK"/>
          <w:b/>
          <w:bCs/>
          <w:kern w:val="0"/>
          <w:sz w:val="30"/>
          <w:szCs w:val="30"/>
          <w:shd w:val="clear" w:color="auto" w:fill="FFFFFF"/>
        </w:rPr>
      </w:pPr>
      <w:r>
        <w:rPr>
          <w:rFonts w:hint="eastAsia" w:ascii="方正楷体_GBK" w:hAnsi="方正楷体_GBK" w:eastAsia="方正楷体_GBK" w:cs="方正楷体_GBK"/>
          <w:b/>
          <w:bCs/>
          <w:kern w:val="0"/>
          <w:sz w:val="30"/>
          <w:szCs w:val="30"/>
          <w:shd w:val="clear" w:color="auto" w:fill="FFFFFF"/>
        </w:rPr>
        <w:t>（二）项目绩效目标未完成原因分析</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项目已完成。</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五、其他需要说明的问题</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（一）后续工作计划</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要把深入扎实开展“访惠聚、惠民生、聚民心”活动，作为群众路线教育实践活动最大的实践和检验成效的重要途径，带头调查研究，带头听取群众意见，带头帮助基层解决问题，带头抓好落实整改。</w:t>
      </w:r>
    </w:p>
    <w:p>
      <w:pPr>
        <w:spacing w:line="600" w:lineRule="exact"/>
        <w:ind w:firstLine="643" w:firstLineChars="200"/>
        <w:rPr>
          <w:rFonts w:ascii="宋体" w:hAnsi="宋体" w:cs="宋体"/>
          <w:b/>
          <w:bCs/>
          <w:kern w:val="0"/>
          <w:sz w:val="30"/>
          <w:szCs w:val="30"/>
          <w:shd w:val="clear" w:color="auto" w:fill="FFFFFF"/>
        </w:rPr>
      </w:pPr>
      <w:r>
        <w:rPr>
          <w:rFonts w:hint="eastAsia" w:ascii="方正楷体_GBK" w:hAnsi="方正楷体_GBK" w:eastAsia="方正楷体_GBK" w:cs="方正楷体_GBK"/>
          <w:b/>
          <w:bCs/>
          <w:kern w:val="0"/>
          <w:sz w:val="32"/>
          <w:szCs w:val="32"/>
          <w:shd w:val="clear" w:color="auto" w:fill="FFFFFF"/>
        </w:rPr>
        <w:t>（二）主要经验及做法、存在问题和建议</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无</w:t>
      </w:r>
    </w:p>
    <w:p>
      <w:pPr>
        <w:spacing w:line="600" w:lineRule="exact"/>
        <w:ind w:firstLine="643" w:firstLineChars="200"/>
        <w:rPr>
          <w:rFonts w:ascii="方正楷体_GBK" w:hAnsi="方正楷体_GBK" w:eastAsia="方正楷体_GBK" w:cs="方正楷体_GBK"/>
          <w:b/>
          <w:bCs/>
          <w:kern w:val="0"/>
          <w:sz w:val="32"/>
          <w:szCs w:val="32"/>
          <w:shd w:val="clear" w:color="auto" w:fill="FFFFFF"/>
        </w:rPr>
      </w:pPr>
      <w:r>
        <w:rPr>
          <w:rFonts w:hint="eastAsia" w:ascii="方正楷体_GBK" w:hAnsi="方正楷体_GBK" w:eastAsia="方正楷体_GBK" w:cs="方正楷体_GBK"/>
          <w:b/>
          <w:bCs/>
          <w:kern w:val="0"/>
          <w:sz w:val="32"/>
          <w:szCs w:val="32"/>
          <w:shd w:val="clear" w:color="auto" w:fill="FFFFFF"/>
        </w:rPr>
        <w:t>（三）其他</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无</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六、项目评价工作情况</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包括评价基础数据收集、资料来源和依据等佐证材料情况，项目现场勘验检查核实等情况。</w:t>
      </w:r>
    </w:p>
    <w:p>
      <w:pPr>
        <w:spacing w:line="600" w:lineRule="exact"/>
        <w:ind w:firstLine="643" w:firstLineChars="200"/>
        <w:rPr>
          <w:rFonts w:ascii="方正黑体_GBK" w:hAnsi="方正黑体_GBK" w:eastAsia="方正黑体_GBK" w:cs="方正黑体_GBK"/>
          <w:b/>
          <w:bCs/>
          <w:kern w:val="0"/>
          <w:sz w:val="32"/>
          <w:szCs w:val="32"/>
          <w:shd w:val="clear" w:color="auto" w:fill="FFFFFF"/>
        </w:rPr>
      </w:pPr>
      <w:r>
        <w:rPr>
          <w:rFonts w:hint="eastAsia" w:ascii="方正黑体_GBK" w:hAnsi="方正黑体_GBK" w:eastAsia="方正黑体_GBK" w:cs="方正黑体_GBK"/>
          <w:b/>
          <w:bCs/>
          <w:kern w:val="0"/>
          <w:sz w:val="32"/>
          <w:szCs w:val="32"/>
          <w:shd w:val="clear" w:color="auto" w:fill="FFFFFF"/>
        </w:rPr>
        <w:t>七、附表</w:t>
      </w:r>
    </w:p>
    <w:p>
      <w:pPr>
        <w:spacing w:line="600" w:lineRule="exact"/>
        <w:ind w:firstLine="624" w:firstLineChars="200"/>
        <w:rPr>
          <w:rStyle w:val="19"/>
          <w:rFonts w:ascii="仿宋_GB2312" w:hAnsi="仿宋_GB2312" w:eastAsia="仿宋_GB2312" w:cs="仿宋_GB2312"/>
          <w:b w:val="0"/>
          <w:spacing w:val="-4"/>
          <w:sz w:val="32"/>
          <w:szCs w:val="32"/>
        </w:rPr>
      </w:pPr>
      <w:r>
        <w:rPr>
          <w:rStyle w:val="19"/>
          <w:rFonts w:hint="eastAsia" w:ascii="仿宋_GB2312" w:hAnsi="仿宋_GB2312" w:eastAsia="仿宋_GB2312" w:cs="仿宋_GB2312"/>
          <w:b w:val="0"/>
          <w:spacing w:val="-4"/>
          <w:sz w:val="32"/>
          <w:szCs w:val="32"/>
        </w:rPr>
        <w:t>《地区财政项目支出绩效自评表》</w:t>
      </w:r>
    </w:p>
    <w:p>
      <w:pPr>
        <w:spacing w:line="600" w:lineRule="exact"/>
        <w:ind w:firstLine="624" w:firstLineChars="200"/>
        <w:rPr>
          <w:rStyle w:val="19"/>
          <w:rFonts w:ascii="仿宋_GB2312" w:hAnsi="仿宋_GB2312" w:eastAsia="仿宋_GB2312" w:cs="仿宋_GB2312"/>
          <w:b w:val="0"/>
          <w:spacing w:val="-4"/>
          <w:sz w:val="32"/>
          <w:szCs w:val="32"/>
        </w:rPr>
      </w:pPr>
    </w:p>
    <w:p>
      <w:pPr>
        <w:spacing w:line="600" w:lineRule="exact"/>
        <w:ind w:firstLine="624" w:firstLineChars="200"/>
        <w:rPr>
          <w:rStyle w:val="19"/>
          <w:rFonts w:ascii="仿宋_GB2312" w:hAnsi="仿宋_GB2312" w:eastAsia="仿宋_GB2312" w:cs="仿宋_GB2312"/>
          <w:b w:val="0"/>
          <w:spacing w:val="-4"/>
          <w:sz w:val="32"/>
          <w:szCs w:val="32"/>
        </w:rPr>
      </w:pPr>
    </w:p>
    <w:p>
      <w:pPr>
        <w:spacing w:line="600" w:lineRule="exact"/>
        <w:ind w:firstLine="624" w:firstLineChars="200"/>
        <w:rPr>
          <w:rStyle w:val="19"/>
          <w:rFonts w:ascii="仿宋_GB2312" w:hAnsi="仿宋_GB2312" w:eastAsia="仿宋_GB2312" w:cs="仿宋_GB2312"/>
          <w:b w:val="0"/>
          <w:spacing w:val="-4"/>
          <w:sz w:val="32"/>
          <w:szCs w:val="32"/>
        </w:rPr>
      </w:pPr>
    </w:p>
    <w:tbl>
      <w:tblPr>
        <w:tblStyle w:val="17"/>
        <w:tblW w:w="10320" w:type="dxa"/>
        <w:tblInd w:w="-1000" w:type="dxa"/>
        <w:tblLayout w:type="autofit"/>
        <w:tblCellMar>
          <w:top w:w="0" w:type="dxa"/>
          <w:left w:w="108" w:type="dxa"/>
          <w:bottom w:w="0" w:type="dxa"/>
          <w:right w:w="108" w:type="dxa"/>
        </w:tblCellMar>
      </w:tblPr>
      <w:tblGrid>
        <w:gridCol w:w="1080"/>
        <w:gridCol w:w="1080"/>
        <w:gridCol w:w="1220"/>
        <w:gridCol w:w="1080"/>
        <w:gridCol w:w="1080"/>
        <w:gridCol w:w="860"/>
        <w:gridCol w:w="1760"/>
        <w:gridCol w:w="1080"/>
        <w:gridCol w:w="1080"/>
      </w:tblGrid>
      <w:tr>
        <w:tblPrEx>
          <w:tblCellMar>
            <w:top w:w="0" w:type="dxa"/>
            <w:left w:w="108" w:type="dxa"/>
            <w:bottom w:w="0" w:type="dxa"/>
            <w:right w:w="108" w:type="dxa"/>
          </w:tblCellMar>
        </w:tblPrEx>
        <w:trPr>
          <w:trHeight w:val="405" w:hRule="atLeast"/>
        </w:trPr>
        <w:tc>
          <w:tcPr>
            <w:tcW w:w="10320" w:type="dxa"/>
            <w:gridSpan w:val="9"/>
            <w:tcBorders>
              <w:top w:val="nil"/>
              <w:left w:val="nil"/>
              <w:bottom w:val="nil"/>
              <w:right w:val="nil"/>
            </w:tcBorders>
            <w:shd w:val="clear" w:color="auto" w:fill="auto"/>
            <w:vAlign w:val="center"/>
          </w:tcPr>
          <w:p>
            <w:pPr>
              <w:widowControl/>
              <w:jc w:val="center"/>
              <w:rPr>
                <w:rFonts w:ascii="宋体" w:hAnsi="宋体" w:cs="宋体"/>
                <w:b/>
                <w:bCs/>
                <w:kern w:val="0"/>
                <w:sz w:val="32"/>
                <w:szCs w:val="32"/>
                <w:u w:val="single"/>
              </w:rPr>
            </w:pPr>
            <w:r>
              <w:rPr>
                <w:rFonts w:hint="eastAsia" w:ascii="宋体" w:hAnsi="宋体" w:cs="宋体"/>
                <w:b/>
                <w:bCs/>
                <w:kern w:val="0"/>
                <w:sz w:val="32"/>
                <w:szCs w:val="32"/>
                <w:u w:val="single"/>
                <w:lang w:eastAsia="zh-CN"/>
              </w:rPr>
              <w:t>新疆巴州和静县民族宗教事务委员会</w:t>
            </w:r>
            <w:r>
              <w:rPr>
                <w:rFonts w:hint="eastAsia" w:ascii="宋体" w:hAnsi="宋体" w:cs="宋体"/>
                <w:b/>
                <w:bCs/>
                <w:kern w:val="0"/>
                <w:sz w:val="32"/>
                <w:szCs w:val="32"/>
              </w:rPr>
              <w:t>财政项目支出绩效自评表</w:t>
            </w:r>
          </w:p>
        </w:tc>
      </w:tr>
      <w:tr>
        <w:tblPrEx>
          <w:tblCellMar>
            <w:top w:w="0" w:type="dxa"/>
            <w:left w:w="108" w:type="dxa"/>
            <w:bottom w:w="0" w:type="dxa"/>
            <w:right w:w="108" w:type="dxa"/>
          </w:tblCellMar>
        </w:tblPrEx>
        <w:trPr>
          <w:trHeight w:val="285" w:hRule="atLeast"/>
        </w:trPr>
        <w:tc>
          <w:tcPr>
            <w:tcW w:w="10320" w:type="dxa"/>
            <w:gridSpan w:val="9"/>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（2018年度）</w:t>
            </w:r>
          </w:p>
        </w:tc>
      </w:tr>
      <w:tr>
        <w:tblPrEx>
          <w:tblCellMar>
            <w:top w:w="0" w:type="dxa"/>
            <w:left w:w="108" w:type="dxa"/>
            <w:bottom w:w="0" w:type="dxa"/>
            <w:right w:w="108" w:type="dxa"/>
          </w:tblCellMar>
        </w:tblPrEx>
        <w:trPr>
          <w:trHeight w:val="315" w:hRule="atLeast"/>
        </w:trPr>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2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3700" w:type="dxa"/>
            <w:gridSpan w:val="3"/>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CellMar>
            <w:top w:w="0" w:type="dxa"/>
            <w:left w:w="108" w:type="dxa"/>
            <w:bottom w:w="0" w:type="dxa"/>
            <w:right w:w="108" w:type="dxa"/>
          </w:tblCellMar>
        </w:tblPrEx>
        <w:trPr>
          <w:trHeight w:val="315" w:hRule="atLeast"/>
        </w:trPr>
        <w:tc>
          <w:tcPr>
            <w:tcW w:w="33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694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新疆巴州和静县民族宗教事务委员会</w:t>
            </w:r>
            <w:r>
              <w:rPr>
                <w:rFonts w:hint="eastAsia" w:ascii="宋体" w:hAnsi="宋体" w:cs="宋体"/>
                <w:kern w:val="0"/>
                <w:sz w:val="20"/>
                <w:szCs w:val="20"/>
              </w:rPr>
              <w:t>访惠聚工作队经费</w:t>
            </w:r>
          </w:p>
        </w:tc>
      </w:tr>
      <w:tr>
        <w:tblPrEx>
          <w:tblCellMar>
            <w:top w:w="0" w:type="dxa"/>
            <w:left w:w="108" w:type="dxa"/>
            <w:bottom w:w="0" w:type="dxa"/>
            <w:right w:w="108" w:type="dxa"/>
          </w:tblCellMar>
        </w:tblPrEx>
        <w:trPr>
          <w:trHeight w:val="315" w:hRule="atLeast"/>
        </w:trPr>
        <w:tc>
          <w:tcPr>
            <w:tcW w:w="338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694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20"/>
                <w:szCs w:val="20"/>
                <w:lang w:eastAsia="zh-CN"/>
              </w:rPr>
            </w:pPr>
            <w:r>
              <w:rPr>
                <w:rFonts w:hint="eastAsia" w:ascii="宋体" w:hAnsi="宋体" w:cs="宋体"/>
                <w:kern w:val="0"/>
                <w:sz w:val="20"/>
                <w:szCs w:val="20"/>
                <w:lang w:eastAsia="zh-CN"/>
              </w:rPr>
              <w:t>新疆巴州和静县民族宗教事务委员会</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p>
        </w:tc>
        <w:tc>
          <w:tcPr>
            <w:tcW w:w="230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预算数：</w:t>
            </w:r>
          </w:p>
        </w:tc>
        <w:tc>
          <w:tcPr>
            <w:tcW w:w="302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5.71</w:t>
            </w:r>
          </w:p>
        </w:tc>
        <w:tc>
          <w:tcPr>
            <w:tcW w:w="28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执行数：</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5.71</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执行</w:t>
            </w:r>
          </w:p>
        </w:tc>
        <w:tc>
          <w:tcPr>
            <w:tcW w:w="230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20" w:type="dxa"/>
            <w:gridSpan w:val="3"/>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840" w:type="dxa"/>
            <w:gridSpan w:val="2"/>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情况</w:t>
            </w:r>
          </w:p>
        </w:tc>
        <w:tc>
          <w:tcPr>
            <w:tcW w:w="23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5.71</w:t>
            </w:r>
          </w:p>
        </w:tc>
        <w:tc>
          <w:tcPr>
            <w:tcW w:w="2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其中：财政拨款</w:t>
            </w:r>
          </w:p>
        </w:tc>
        <w:tc>
          <w:tcPr>
            <w:tcW w:w="10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5.71</w:t>
            </w:r>
          </w:p>
        </w:tc>
      </w:tr>
      <w:tr>
        <w:tblPrEx>
          <w:tblCellMar>
            <w:top w:w="0" w:type="dxa"/>
            <w:left w:w="108" w:type="dxa"/>
            <w:bottom w:w="0" w:type="dxa"/>
            <w:right w:w="108" w:type="dxa"/>
          </w:tblCellMar>
        </w:tblPrEx>
        <w:trPr>
          <w:trHeight w:val="31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（万元）</w:t>
            </w:r>
          </w:p>
        </w:tc>
        <w:tc>
          <w:tcPr>
            <w:tcW w:w="23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0</w:t>
            </w:r>
          </w:p>
        </w:tc>
        <w:tc>
          <w:tcPr>
            <w:tcW w:w="2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其他资金</w:t>
            </w:r>
          </w:p>
        </w:tc>
        <w:tc>
          <w:tcPr>
            <w:tcW w:w="10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w:t>
            </w:r>
          </w:p>
        </w:tc>
      </w:tr>
      <w:tr>
        <w:tblPrEx>
          <w:tblCellMar>
            <w:top w:w="0" w:type="dxa"/>
            <w:left w:w="108" w:type="dxa"/>
            <w:bottom w:w="0" w:type="dxa"/>
            <w:right w:w="108" w:type="dxa"/>
          </w:tblCellMar>
        </w:tblPrEx>
        <w:trPr>
          <w:trHeight w:val="315"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年度目标完成情况</w:t>
            </w:r>
          </w:p>
        </w:tc>
        <w:tc>
          <w:tcPr>
            <w:tcW w:w="5320"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92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5320"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92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5320" w:type="dxa"/>
            <w:gridSpan w:val="5"/>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92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129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5320" w:type="dxa"/>
            <w:gridSpan w:val="5"/>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完成深入扎实开展“访民情、惠民生、聚民心”活动，带头调查研究，带头听取群众意见，带头帮助基层解决问题，带头抓好整改落实，为基层干部作出表率</w:t>
            </w:r>
          </w:p>
        </w:tc>
        <w:tc>
          <w:tcPr>
            <w:tcW w:w="3920" w:type="dxa"/>
            <w:gridSpan w:val="3"/>
            <w:tcBorders>
              <w:top w:val="single" w:color="auto" w:sz="4" w:space="0"/>
              <w:left w:val="nil"/>
              <w:bottom w:val="single" w:color="auto" w:sz="4" w:space="0"/>
              <w:right w:val="single" w:color="auto"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深入扎实开展“访民情、惠民生、聚民心”活动，带头调查研究，带头听取群众意见，带头帮助基层解决问题，带头抓好整改落实，为基层干部作出表率</w:t>
            </w:r>
          </w:p>
        </w:tc>
      </w:tr>
      <w:tr>
        <w:tblPrEx>
          <w:tblCellMar>
            <w:top w:w="0" w:type="dxa"/>
            <w:left w:w="108" w:type="dxa"/>
            <w:bottom w:w="0" w:type="dxa"/>
            <w:right w:w="108" w:type="dxa"/>
          </w:tblCellMar>
        </w:tblPrEx>
        <w:trPr>
          <w:trHeight w:val="99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17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CellMar>
            <w:top w:w="0" w:type="dxa"/>
            <w:left w:w="108" w:type="dxa"/>
            <w:bottom w:w="0" w:type="dxa"/>
            <w:right w:w="108" w:type="dxa"/>
          </w:tblCellMar>
        </w:tblPrEx>
        <w:trPr>
          <w:trHeight w:val="510" w:hRule="atLeast"/>
        </w:trPr>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绩效指标</w:t>
            </w: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完成辖区居民入户走访数</w:t>
            </w:r>
          </w:p>
        </w:tc>
        <w:tc>
          <w:tcPr>
            <w:tcW w:w="17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≥307户4553人</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≥307户4553人</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各项法律法规政策宣传覆盖率</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访惠聚工作队队员人数</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≥4人</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≥4人</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为辖区群众提供优质服务完成率</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≥95%</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≥95%</w:t>
            </w:r>
          </w:p>
        </w:tc>
      </w:tr>
      <w:tr>
        <w:tblPrEx>
          <w:tblCellMar>
            <w:top w:w="0" w:type="dxa"/>
            <w:left w:w="108" w:type="dxa"/>
            <w:bottom w:w="0" w:type="dxa"/>
            <w:right w:w="108" w:type="dxa"/>
          </w:tblCellMar>
        </w:tblPrEx>
        <w:trPr>
          <w:trHeight w:val="48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解决群众困难诉求实效率</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r>
      <w:tr>
        <w:tblPrEx>
          <w:tblCellMar>
            <w:top w:w="0" w:type="dxa"/>
            <w:left w:w="108" w:type="dxa"/>
            <w:bottom w:w="0" w:type="dxa"/>
            <w:right w:w="108" w:type="dxa"/>
          </w:tblCellMar>
        </w:tblPrEx>
        <w:trPr>
          <w:trHeight w:val="51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按期完成工作</w:t>
            </w:r>
          </w:p>
        </w:tc>
        <w:tc>
          <w:tcPr>
            <w:tcW w:w="17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2018年1月－12月</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2018年1月－12月</w:t>
            </w:r>
          </w:p>
        </w:tc>
      </w:tr>
      <w:tr>
        <w:tblPrEx>
          <w:tblCellMar>
            <w:top w:w="0" w:type="dxa"/>
            <w:left w:w="108" w:type="dxa"/>
            <w:bottom w:w="0" w:type="dxa"/>
            <w:right w:w="108" w:type="dxa"/>
          </w:tblCellMar>
        </w:tblPrEx>
        <w:trPr>
          <w:trHeight w:val="48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活动用品</w:t>
            </w:r>
          </w:p>
        </w:tc>
        <w:tc>
          <w:tcPr>
            <w:tcW w:w="17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≤1.56</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1.56</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社区增添办公桌椅、打印机</w:t>
            </w:r>
          </w:p>
        </w:tc>
        <w:tc>
          <w:tcPr>
            <w:tcW w:w="17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≤0.82</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0.82</w:t>
            </w:r>
          </w:p>
        </w:tc>
      </w:tr>
      <w:tr>
        <w:tblPrEx>
          <w:tblCellMar>
            <w:top w:w="0" w:type="dxa"/>
            <w:left w:w="108" w:type="dxa"/>
            <w:bottom w:w="0" w:type="dxa"/>
            <w:right w:w="108" w:type="dxa"/>
          </w:tblCellMar>
        </w:tblPrEx>
        <w:trPr>
          <w:trHeight w:val="315"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20"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社区购买办公用品、电费、燃气费，改善社区干部的工作条件</w:t>
            </w:r>
          </w:p>
        </w:tc>
        <w:tc>
          <w:tcPr>
            <w:tcW w:w="176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≤0.77</w:t>
            </w:r>
          </w:p>
        </w:tc>
        <w:tc>
          <w:tcPr>
            <w:tcW w:w="21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0.77</w:t>
            </w:r>
          </w:p>
        </w:tc>
      </w:tr>
      <w:tr>
        <w:tblPrEx>
          <w:tblCellMar>
            <w:top w:w="0" w:type="dxa"/>
            <w:left w:w="108" w:type="dxa"/>
            <w:bottom w:w="0" w:type="dxa"/>
            <w:right w:w="108" w:type="dxa"/>
          </w:tblCellMar>
        </w:tblPrEx>
        <w:trPr>
          <w:trHeight w:val="31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20" w:type="dxa"/>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76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1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r>
      <w:tr>
        <w:tblPrEx>
          <w:tblCellMar>
            <w:top w:w="0" w:type="dxa"/>
            <w:left w:w="108" w:type="dxa"/>
            <w:bottom w:w="0" w:type="dxa"/>
            <w:right w:w="108" w:type="dxa"/>
          </w:tblCellMar>
        </w:tblPrEx>
        <w:trPr>
          <w:trHeight w:val="315"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经济效益指标</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基础设施完好率</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辖区居民努力创业工作积极性提高率</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r>
      <w:tr>
        <w:tblPrEx>
          <w:tblCellMar>
            <w:top w:w="0" w:type="dxa"/>
            <w:left w:w="108" w:type="dxa"/>
            <w:bottom w:w="0" w:type="dxa"/>
            <w:right w:w="108" w:type="dxa"/>
          </w:tblCellMar>
        </w:tblPrEx>
        <w:trPr>
          <w:trHeight w:val="495"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社会效益指标</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居民对安全感幸福感提升率</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r>
      <w:tr>
        <w:tblPrEx>
          <w:tblCellMar>
            <w:top w:w="0" w:type="dxa"/>
            <w:left w:w="108" w:type="dxa"/>
            <w:bottom w:w="0" w:type="dxa"/>
            <w:right w:w="108" w:type="dxa"/>
          </w:tblCellMar>
        </w:tblPrEx>
        <w:trPr>
          <w:trHeight w:val="54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生态效益指标</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群众环境保护意识提高率</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≥95%</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≥95%</w:t>
            </w:r>
          </w:p>
        </w:tc>
      </w:tr>
      <w:tr>
        <w:tblPrEx>
          <w:tblCellMar>
            <w:top w:w="0" w:type="dxa"/>
            <w:left w:w="108" w:type="dxa"/>
            <w:bottom w:w="0" w:type="dxa"/>
            <w:right w:w="108" w:type="dxa"/>
          </w:tblCellMar>
        </w:tblPrEx>
        <w:trPr>
          <w:trHeight w:val="619"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可持续影响指标</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宣传党的政治理论及惠民政策等相关政策覆盖率</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≥95%</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≥95%</w:t>
            </w:r>
          </w:p>
        </w:tc>
      </w:tr>
      <w:tr>
        <w:tblPrEx>
          <w:tblCellMar>
            <w:top w:w="0" w:type="dxa"/>
            <w:left w:w="108" w:type="dxa"/>
            <w:bottom w:w="0" w:type="dxa"/>
            <w:right w:w="108" w:type="dxa"/>
          </w:tblCellMar>
        </w:tblPrEx>
        <w:trPr>
          <w:trHeight w:val="462"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2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学习国家通用语言</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≥95%</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≥95%</w:t>
            </w:r>
          </w:p>
        </w:tc>
      </w:tr>
      <w:tr>
        <w:tblPrEx>
          <w:tblCellMar>
            <w:top w:w="0" w:type="dxa"/>
            <w:left w:w="108" w:type="dxa"/>
            <w:bottom w:w="0" w:type="dxa"/>
            <w:right w:w="108" w:type="dxa"/>
          </w:tblCellMar>
        </w:tblPrEx>
        <w:trPr>
          <w:trHeight w:val="600" w:hRule="atLeast"/>
        </w:trPr>
        <w:tc>
          <w:tcPr>
            <w:tcW w:w="108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0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p>
        </w:tc>
        <w:tc>
          <w:tcPr>
            <w:tcW w:w="122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3020" w:type="dxa"/>
            <w:gridSpan w:val="3"/>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群众满意度</w:t>
            </w:r>
          </w:p>
        </w:tc>
        <w:tc>
          <w:tcPr>
            <w:tcW w:w="1760"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c>
          <w:tcPr>
            <w:tcW w:w="2160" w:type="dxa"/>
            <w:gridSpan w:val="2"/>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0"/>
                <w:szCs w:val="20"/>
              </w:rPr>
            </w:pPr>
            <w:r>
              <w:rPr>
                <w:rFonts w:hint="eastAsia" w:ascii="宋体" w:hAnsi="宋体" w:cs="宋体"/>
                <w:kern w:val="0"/>
                <w:sz w:val="20"/>
                <w:szCs w:val="20"/>
              </w:rPr>
              <w:t>≥98%</w:t>
            </w:r>
          </w:p>
        </w:tc>
      </w:tr>
      <w:tr>
        <w:tblPrEx>
          <w:tblCellMar>
            <w:top w:w="0" w:type="dxa"/>
            <w:left w:w="108" w:type="dxa"/>
            <w:bottom w:w="0" w:type="dxa"/>
            <w:right w:w="108" w:type="dxa"/>
          </w:tblCellMar>
        </w:tblPrEx>
        <w:trPr>
          <w:trHeight w:val="405" w:hRule="atLeast"/>
        </w:trPr>
        <w:tc>
          <w:tcPr>
            <w:tcW w:w="1080" w:type="dxa"/>
            <w:tcBorders>
              <w:top w:val="nil"/>
              <w:left w:val="nil"/>
              <w:bottom w:val="nil"/>
              <w:right w:val="nil"/>
            </w:tcBorders>
            <w:shd w:val="clear" w:color="auto" w:fill="auto"/>
            <w:noWrap/>
            <w:vAlign w:val="center"/>
          </w:tcPr>
          <w:p>
            <w:pPr>
              <w:widowControl/>
              <w:rPr>
                <w:rFonts w:ascii="仿宋" w:hAnsi="仿宋" w:eastAsia="仿宋" w:cs="宋体"/>
                <w:kern w:val="0"/>
                <w:sz w:val="32"/>
                <w:szCs w:val="32"/>
              </w:rPr>
            </w:pPr>
            <w:r>
              <w:rPr>
                <w:rFonts w:hint="eastAsia" w:ascii="仿宋" w:hAnsi="仿宋" w:eastAsia="仿宋" w:cs="宋体"/>
                <w:kern w:val="0"/>
                <w:sz w:val="32"/>
                <w:szCs w:val="32"/>
              </w:rPr>
              <w:t xml:space="preserve"> </w:t>
            </w:r>
          </w:p>
        </w:tc>
        <w:tc>
          <w:tcPr>
            <w:tcW w:w="1080" w:type="dxa"/>
            <w:tcBorders>
              <w:top w:val="nil"/>
              <w:left w:val="nil"/>
              <w:bottom w:val="nil"/>
              <w:right w:val="nil"/>
            </w:tcBorders>
            <w:shd w:val="clear" w:color="auto" w:fill="auto"/>
            <w:noWrap/>
            <w:vAlign w:val="center"/>
          </w:tcPr>
          <w:p>
            <w:pPr>
              <w:widowControl/>
              <w:jc w:val="left"/>
              <w:rPr>
                <w:rFonts w:ascii="宋体" w:hAnsi="宋体" w:cs="宋体"/>
                <w:kern w:val="0"/>
                <w:sz w:val="24"/>
              </w:rPr>
            </w:pPr>
          </w:p>
        </w:tc>
        <w:tc>
          <w:tcPr>
            <w:tcW w:w="1220" w:type="dxa"/>
            <w:tcBorders>
              <w:top w:val="nil"/>
              <w:left w:val="nil"/>
              <w:bottom w:val="nil"/>
              <w:right w:val="nil"/>
            </w:tcBorders>
            <w:shd w:val="clear" w:color="auto" w:fill="auto"/>
            <w:noWrap/>
            <w:vAlign w:val="center"/>
          </w:tcPr>
          <w:p>
            <w:pPr>
              <w:widowControl/>
              <w:jc w:val="left"/>
              <w:rPr>
                <w:rFonts w:ascii="宋体" w:hAnsi="宋体" w:cs="宋体"/>
                <w:kern w:val="0"/>
                <w:sz w:val="24"/>
              </w:rPr>
            </w:pPr>
          </w:p>
        </w:tc>
        <w:tc>
          <w:tcPr>
            <w:tcW w:w="1080" w:type="dxa"/>
            <w:tcBorders>
              <w:top w:val="nil"/>
              <w:left w:val="nil"/>
              <w:bottom w:val="nil"/>
              <w:right w:val="nil"/>
            </w:tcBorders>
            <w:shd w:val="clear" w:color="auto" w:fill="auto"/>
            <w:noWrap/>
            <w:vAlign w:val="center"/>
          </w:tcPr>
          <w:p>
            <w:pPr>
              <w:widowControl/>
              <w:jc w:val="left"/>
              <w:rPr>
                <w:rFonts w:ascii="宋体" w:hAnsi="宋体" w:cs="宋体"/>
                <w:kern w:val="0"/>
                <w:sz w:val="24"/>
              </w:rPr>
            </w:pPr>
          </w:p>
        </w:tc>
        <w:tc>
          <w:tcPr>
            <w:tcW w:w="1080" w:type="dxa"/>
            <w:tcBorders>
              <w:top w:val="nil"/>
              <w:left w:val="nil"/>
              <w:bottom w:val="nil"/>
              <w:right w:val="nil"/>
            </w:tcBorders>
            <w:shd w:val="clear" w:color="auto" w:fill="auto"/>
            <w:noWrap/>
            <w:vAlign w:val="center"/>
          </w:tcPr>
          <w:p>
            <w:pPr>
              <w:widowControl/>
              <w:jc w:val="left"/>
              <w:rPr>
                <w:rFonts w:ascii="宋体" w:hAnsi="宋体" w:cs="宋体"/>
                <w:kern w:val="0"/>
                <w:sz w:val="24"/>
              </w:rPr>
            </w:pPr>
          </w:p>
        </w:tc>
        <w:tc>
          <w:tcPr>
            <w:tcW w:w="860" w:type="dxa"/>
            <w:tcBorders>
              <w:top w:val="nil"/>
              <w:left w:val="nil"/>
              <w:bottom w:val="nil"/>
              <w:right w:val="nil"/>
            </w:tcBorders>
            <w:shd w:val="clear" w:color="auto" w:fill="auto"/>
            <w:noWrap/>
            <w:vAlign w:val="center"/>
          </w:tcPr>
          <w:p>
            <w:pPr>
              <w:widowControl/>
              <w:jc w:val="left"/>
              <w:rPr>
                <w:rFonts w:ascii="宋体" w:hAnsi="宋体" w:cs="宋体"/>
                <w:kern w:val="0"/>
                <w:sz w:val="24"/>
              </w:rPr>
            </w:pPr>
          </w:p>
        </w:tc>
        <w:tc>
          <w:tcPr>
            <w:tcW w:w="1760" w:type="dxa"/>
            <w:tcBorders>
              <w:top w:val="nil"/>
              <w:left w:val="nil"/>
              <w:bottom w:val="nil"/>
              <w:right w:val="nil"/>
            </w:tcBorders>
            <w:shd w:val="clear" w:color="auto" w:fill="auto"/>
            <w:noWrap/>
            <w:vAlign w:val="center"/>
          </w:tcPr>
          <w:p>
            <w:pPr>
              <w:widowControl/>
              <w:jc w:val="left"/>
              <w:rPr>
                <w:rFonts w:ascii="宋体" w:hAnsi="宋体" w:cs="宋体"/>
                <w:kern w:val="0"/>
                <w:sz w:val="24"/>
              </w:rPr>
            </w:pPr>
          </w:p>
        </w:tc>
        <w:tc>
          <w:tcPr>
            <w:tcW w:w="1080" w:type="dxa"/>
            <w:tcBorders>
              <w:top w:val="nil"/>
              <w:left w:val="nil"/>
              <w:bottom w:val="nil"/>
              <w:right w:val="nil"/>
            </w:tcBorders>
            <w:shd w:val="clear" w:color="auto" w:fill="auto"/>
            <w:noWrap/>
            <w:vAlign w:val="center"/>
          </w:tcPr>
          <w:p>
            <w:pPr>
              <w:widowControl/>
              <w:jc w:val="left"/>
              <w:rPr>
                <w:rFonts w:ascii="宋体" w:hAnsi="宋体" w:cs="宋体"/>
                <w:kern w:val="0"/>
                <w:sz w:val="24"/>
              </w:rPr>
            </w:pPr>
          </w:p>
        </w:tc>
        <w:tc>
          <w:tcPr>
            <w:tcW w:w="1080" w:type="dxa"/>
            <w:tcBorders>
              <w:top w:val="nil"/>
              <w:left w:val="nil"/>
              <w:bottom w:val="nil"/>
              <w:right w:val="nil"/>
            </w:tcBorders>
            <w:shd w:val="clear" w:color="auto" w:fill="auto"/>
            <w:noWrap/>
            <w:vAlign w:val="center"/>
          </w:tcPr>
          <w:p>
            <w:pPr>
              <w:widowControl/>
              <w:jc w:val="left"/>
              <w:rPr>
                <w:rFonts w:ascii="宋体" w:hAnsi="宋体" w:cs="宋体"/>
                <w:kern w:val="0"/>
                <w:sz w:val="24"/>
              </w:rPr>
            </w:pPr>
          </w:p>
        </w:tc>
      </w:tr>
    </w:tbl>
    <w:p>
      <w:pPr>
        <w:spacing w:line="600" w:lineRule="exact"/>
        <w:ind w:firstLine="624" w:firstLineChars="200"/>
        <w:rPr>
          <w:rStyle w:val="19"/>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ambria">
    <w:panose1 w:val="02040503050406030204"/>
    <w:charset w:val="00"/>
    <w:family w:val="roman"/>
    <w:pitch w:val="default"/>
    <w:sig w:usb0="A00002EF" w:usb1="4000004B" w:usb2="00000000" w:usb3="00000000" w:csb0="2000009F" w:csb1="00000000"/>
  </w:font>
  <w:font w:name="仿宋">
    <w:altName w:val="宋体"/>
    <w:panose1 w:val="02010609060101010101"/>
    <w:charset w:val="86"/>
    <w:family w:val="modern"/>
    <w:pitch w:val="default"/>
    <w:sig w:usb0="00000000" w:usb1="00000000"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方正黑体_GBK">
    <w:altName w:val="方正小标宋简体"/>
    <w:panose1 w:val="03000509000000000000"/>
    <w:charset w:val="86"/>
    <w:family w:val="script"/>
    <w:pitch w:val="default"/>
    <w:sig w:usb0="00000000" w:usb1="00000000" w:usb2="00000000" w:usb3="00000000" w:csb0="00040000" w:csb1="00000000"/>
  </w:font>
  <w:font w:name="方正楷体_GBK">
    <w:altName w:val="方正小标宋简体"/>
    <w:panose1 w:val="03000509000000000000"/>
    <w:charset w:val="86"/>
    <w:family w:val="script"/>
    <w:pitch w:val="default"/>
    <w:sig w:usb0="00000000" w:usb1="0000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w:fldChar w:fldCharType="begin"/>
    </w:r>
    <w:r>
      <w:instrText xml:space="preserve">PAGE   \* MERGEFORMAT</w:instrText>
    </w:r>
    <w:r>
      <w:fldChar w:fldCharType="separate"/>
    </w:r>
    <w:r>
      <w:rPr>
        <w:lang w:val="zh-CN"/>
      </w:rPr>
      <w:t>1</w:t>
    </w:r>
    <w:r>
      <w:rPr>
        <w:lang w:val="zh-CN"/>
      </w:rPr>
      <w:fldChar w:fldCharType="end"/>
    </w:r>
  </w:p>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FEFA19A"/>
    <w:multiLevelType w:val="singleLevel"/>
    <w:tmpl w:val="6FEFA19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2"/>
  </w:compat>
  <w:rsids>
    <w:rsidRoot w:val="00CA6457"/>
    <w:rsid w:val="00056465"/>
    <w:rsid w:val="00061D28"/>
    <w:rsid w:val="000C13C9"/>
    <w:rsid w:val="000C7AC6"/>
    <w:rsid w:val="001071D5"/>
    <w:rsid w:val="00121AE4"/>
    <w:rsid w:val="00132D75"/>
    <w:rsid w:val="00146AAD"/>
    <w:rsid w:val="00180A65"/>
    <w:rsid w:val="00197821"/>
    <w:rsid w:val="001B3A40"/>
    <w:rsid w:val="001F3FBE"/>
    <w:rsid w:val="002574E5"/>
    <w:rsid w:val="00265EBB"/>
    <w:rsid w:val="002E590A"/>
    <w:rsid w:val="00386F9D"/>
    <w:rsid w:val="003908B7"/>
    <w:rsid w:val="003C6A8E"/>
    <w:rsid w:val="003D4904"/>
    <w:rsid w:val="003F636F"/>
    <w:rsid w:val="004366A8"/>
    <w:rsid w:val="00436F7E"/>
    <w:rsid w:val="004520BF"/>
    <w:rsid w:val="004B4F6C"/>
    <w:rsid w:val="00502BA7"/>
    <w:rsid w:val="00510BE6"/>
    <w:rsid w:val="005162F1"/>
    <w:rsid w:val="00520180"/>
    <w:rsid w:val="00535153"/>
    <w:rsid w:val="005465AC"/>
    <w:rsid w:val="00554F82"/>
    <w:rsid w:val="0055661A"/>
    <w:rsid w:val="00557407"/>
    <w:rsid w:val="0056390D"/>
    <w:rsid w:val="005719B0"/>
    <w:rsid w:val="005D10D6"/>
    <w:rsid w:val="005D2183"/>
    <w:rsid w:val="00646258"/>
    <w:rsid w:val="00653717"/>
    <w:rsid w:val="0069633C"/>
    <w:rsid w:val="006C7E6D"/>
    <w:rsid w:val="006E6BB4"/>
    <w:rsid w:val="0070637A"/>
    <w:rsid w:val="00743B81"/>
    <w:rsid w:val="00770626"/>
    <w:rsid w:val="007A6592"/>
    <w:rsid w:val="007D56EC"/>
    <w:rsid w:val="00831374"/>
    <w:rsid w:val="00855E3A"/>
    <w:rsid w:val="00903CB6"/>
    <w:rsid w:val="00922CB9"/>
    <w:rsid w:val="0092573B"/>
    <w:rsid w:val="0095353D"/>
    <w:rsid w:val="009564B6"/>
    <w:rsid w:val="009B2729"/>
    <w:rsid w:val="009E5CD9"/>
    <w:rsid w:val="00A26421"/>
    <w:rsid w:val="00A367D9"/>
    <w:rsid w:val="00A4293B"/>
    <w:rsid w:val="00A67D50"/>
    <w:rsid w:val="00A8691A"/>
    <w:rsid w:val="00AA5208"/>
    <w:rsid w:val="00AC1946"/>
    <w:rsid w:val="00B1063E"/>
    <w:rsid w:val="00B3358C"/>
    <w:rsid w:val="00B33F21"/>
    <w:rsid w:val="00B40063"/>
    <w:rsid w:val="00B41F61"/>
    <w:rsid w:val="00BA46E6"/>
    <w:rsid w:val="00BF39E6"/>
    <w:rsid w:val="00C06BE3"/>
    <w:rsid w:val="00C32CF6"/>
    <w:rsid w:val="00C56C72"/>
    <w:rsid w:val="00C657B8"/>
    <w:rsid w:val="00CA6457"/>
    <w:rsid w:val="00CC7C0F"/>
    <w:rsid w:val="00D16AF4"/>
    <w:rsid w:val="00D17F2E"/>
    <w:rsid w:val="00D30354"/>
    <w:rsid w:val="00D926BD"/>
    <w:rsid w:val="00DD53B3"/>
    <w:rsid w:val="00DF42A0"/>
    <w:rsid w:val="00E00D00"/>
    <w:rsid w:val="00E16FE1"/>
    <w:rsid w:val="00E3020A"/>
    <w:rsid w:val="00E769FE"/>
    <w:rsid w:val="00E86DF9"/>
    <w:rsid w:val="00E919AE"/>
    <w:rsid w:val="00EA2CBE"/>
    <w:rsid w:val="00EA3720"/>
    <w:rsid w:val="00F32FEE"/>
    <w:rsid w:val="00F40ED9"/>
    <w:rsid w:val="00F54388"/>
    <w:rsid w:val="00FB10BB"/>
    <w:rsid w:val="0B3A4164"/>
    <w:rsid w:val="0BD821F7"/>
    <w:rsid w:val="0D171B29"/>
    <w:rsid w:val="0DFF22E3"/>
    <w:rsid w:val="14716E17"/>
    <w:rsid w:val="183D0A65"/>
    <w:rsid w:val="1BF93ABE"/>
    <w:rsid w:val="298742BE"/>
    <w:rsid w:val="367A3AFE"/>
    <w:rsid w:val="36862882"/>
    <w:rsid w:val="39D5148A"/>
    <w:rsid w:val="3B8477CE"/>
    <w:rsid w:val="3C182B36"/>
    <w:rsid w:val="3F661879"/>
    <w:rsid w:val="42860A4B"/>
    <w:rsid w:val="44F64732"/>
    <w:rsid w:val="4C7E0D01"/>
    <w:rsid w:val="510C200B"/>
    <w:rsid w:val="51784713"/>
    <w:rsid w:val="53551429"/>
    <w:rsid w:val="54491322"/>
    <w:rsid w:val="55DC5939"/>
    <w:rsid w:val="588B27B9"/>
    <w:rsid w:val="5BA074DC"/>
    <w:rsid w:val="5D555B07"/>
    <w:rsid w:val="5E6A1091"/>
    <w:rsid w:val="601B53DB"/>
    <w:rsid w:val="60BF3E29"/>
    <w:rsid w:val="67EB6632"/>
    <w:rsid w:val="6F1A04DE"/>
    <w:rsid w:val="6FEC2E0D"/>
    <w:rsid w:val="70C263C7"/>
    <w:rsid w:val="714C69CB"/>
    <w:rsid w:val="71974550"/>
    <w:rsid w:val="75EC4019"/>
    <w:rsid w:val="7746495C"/>
    <w:rsid w:val="7F987CAE"/>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9"/>
    <w:pPr>
      <w:keepNext/>
      <w:widowControl/>
      <w:spacing w:before="240" w:after="60"/>
      <w:jc w:val="left"/>
      <w:outlineLvl w:val="0"/>
    </w:pPr>
    <w:rPr>
      <w:rFonts w:ascii="Cambria" w:hAnsi="Cambria"/>
      <w:b/>
      <w:bCs/>
      <w:kern w:val="32"/>
      <w:sz w:val="32"/>
      <w:szCs w:val="32"/>
    </w:rPr>
  </w:style>
  <w:style w:type="paragraph" w:styleId="3">
    <w:name w:val="heading 2"/>
    <w:basedOn w:val="1"/>
    <w:next w:val="1"/>
    <w:link w:val="22"/>
    <w:qFormat/>
    <w:uiPriority w:val="99"/>
    <w:pPr>
      <w:keepNext/>
      <w:widowControl/>
      <w:spacing w:before="240" w:after="60"/>
      <w:jc w:val="left"/>
      <w:outlineLvl w:val="1"/>
    </w:pPr>
    <w:rPr>
      <w:rFonts w:ascii="Cambria" w:hAnsi="Cambria"/>
      <w:b/>
      <w:bCs/>
      <w:i/>
      <w:iCs/>
      <w:kern w:val="0"/>
      <w:sz w:val="28"/>
      <w:szCs w:val="28"/>
    </w:rPr>
  </w:style>
  <w:style w:type="paragraph" w:styleId="4">
    <w:name w:val="heading 3"/>
    <w:basedOn w:val="1"/>
    <w:next w:val="1"/>
    <w:link w:val="23"/>
    <w:qFormat/>
    <w:uiPriority w:val="99"/>
    <w:pPr>
      <w:keepNext/>
      <w:widowControl/>
      <w:spacing w:before="240" w:after="60"/>
      <w:jc w:val="left"/>
      <w:outlineLvl w:val="2"/>
    </w:pPr>
    <w:rPr>
      <w:rFonts w:ascii="Cambria" w:hAnsi="Cambria"/>
      <w:b/>
      <w:bCs/>
      <w:kern w:val="0"/>
      <w:sz w:val="26"/>
      <w:szCs w:val="26"/>
    </w:rPr>
  </w:style>
  <w:style w:type="paragraph" w:styleId="5">
    <w:name w:val="heading 4"/>
    <w:basedOn w:val="1"/>
    <w:next w:val="1"/>
    <w:link w:val="24"/>
    <w:qFormat/>
    <w:uiPriority w:val="99"/>
    <w:pPr>
      <w:keepNext/>
      <w:widowControl/>
      <w:spacing w:before="240" w:after="60"/>
      <w:jc w:val="left"/>
      <w:outlineLvl w:val="3"/>
    </w:pPr>
    <w:rPr>
      <w:rFonts w:ascii="Calibri" w:hAnsi="Calibri"/>
      <w:b/>
      <w:bCs/>
      <w:kern w:val="0"/>
      <w:sz w:val="28"/>
      <w:szCs w:val="28"/>
    </w:rPr>
  </w:style>
  <w:style w:type="paragraph" w:styleId="6">
    <w:name w:val="heading 5"/>
    <w:basedOn w:val="1"/>
    <w:next w:val="1"/>
    <w:link w:val="25"/>
    <w:qFormat/>
    <w:uiPriority w:val="99"/>
    <w:pPr>
      <w:widowControl/>
      <w:spacing w:before="240" w:after="60"/>
      <w:jc w:val="left"/>
      <w:outlineLvl w:val="4"/>
    </w:pPr>
    <w:rPr>
      <w:rFonts w:ascii="Calibri" w:hAnsi="Calibri"/>
      <w:b/>
      <w:bCs/>
      <w:i/>
      <w:iCs/>
      <w:kern w:val="0"/>
      <w:sz w:val="26"/>
      <w:szCs w:val="26"/>
    </w:rPr>
  </w:style>
  <w:style w:type="paragraph" w:styleId="7">
    <w:name w:val="heading 6"/>
    <w:basedOn w:val="1"/>
    <w:next w:val="1"/>
    <w:link w:val="26"/>
    <w:qFormat/>
    <w:uiPriority w:val="99"/>
    <w:pPr>
      <w:widowControl/>
      <w:spacing w:before="240" w:after="60"/>
      <w:jc w:val="left"/>
      <w:outlineLvl w:val="5"/>
    </w:pPr>
    <w:rPr>
      <w:rFonts w:ascii="Calibri" w:hAnsi="Calibri"/>
      <w:b/>
      <w:bCs/>
      <w:kern w:val="0"/>
      <w:sz w:val="22"/>
      <w:szCs w:val="22"/>
    </w:rPr>
  </w:style>
  <w:style w:type="paragraph" w:styleId="8">
    <w:name w:val="heading 7"/>
    <w:basedOn w:val="1"/>
    <w:next w:val="1"/>
    <w:link w:val="27"/>
    <w:qFormat/>
    <w:uiPriority w:val="99"/>
    <w:pPr>
      <w:widowControl/>
      <w:spacing w:before="240" w:after="60"/>
      <w:jc w:val="left"/>
      <w:outlineLvl w:val="6"/>
    </w:pPr>
    <w:rPr>
      <w:rFonts w:ascii="Calibri" w:hAnsi="Calibri"/>
      <w:kern w:val="0"/>
      <w:sz w:val="24"/>
    </w:rPr>
  </w:style>
  <w:style w:type="paragraph" w:styleId="9">
    <w:name w:val="heading 8"/>
    <w:basedOn w:val="1"/>
    <w:next w:val="1"/>
    <w:link w:val="28"/>
    <w:qFormat/>
    <w:uiPriority w:val="99"/>
    <w:pPr>
      <w:widowControl/>
      <w:spacing w:before="240" w:after="60"/>
      <w:jc w:val="left"/>
      <w:outlineLvl w:val="7"/>
    </w:pPr>
    <w:rPr>
      <w:rFonts w:ascii="Calibri" w:hAnsi="Calibri"/>
      <w:i/>
      <w:iCs/>
      <w:kern w:val="0"/>
      <w:sz w:val="24"/>
    </w:rPr>
  </w:style>
  <w:style w:type="paragraph" w:styleId="10">
    <w:name w:val="heading 9"/>
    <w:basedOn w:val="1"/>
    <w:next w:val="1"/>
    <w:link w:val="29"/>
    <w:qFormat/>
    <w:uiPriority w:val="99"/>
    <w:pPr>
      <w:widowControl/>
      <w:spacing w:before="240" w:after="60"/>
      <w:jc w:val="left"/>
      <w:outlineLvl w:val="8"/>
    </w:pPr>
    <w:rPr>
      <w:rFonts w:ascii="Cambria" w:hAnsi="Cambria"/>
      <w:kern w:val="0"/>
      <w:sz w:val="22"/>
      <w:szCs w:val="22"/>
    </w:rPr>
  </w:style>
  <w:style w:type="character" w:default="1" w:styleId="18">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6"/>
    <w:semiHidden/>
    <w:qFormat/>
    <w:uiPriority w:val="99"/>
    <w:rPr>
      <w:sz w:val="18"/>
      <w:szCs w:val="18"/>
    </w:rPr>
  </w:style>
  <w:style w:type="paragraph" w:styleId="12">
    <w:name w:val="footer"/>
    <w:basedOn w:val="1"/>
    <w:link w:val="45"/>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4"/>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1"/>
    <w:qFormat/>
    <w:uiPriority w:val="99"/>
    <w:pPr>
      <w:widowControl/>
      <w:spacing w:after="60"/>
      <w:jc w:val="center"/>
      <w:outlineLvl w:val="1"/>
    </w:pPr>
    <w:rPr>
      <w:rFonts w:ascii="Cambria" w:hAnsi="Cambria"/>
      <w:kern w:val="0"/>
      <w:sz w:val="24"/>
    </w:rPr>
  </w:style>
  <w:style w:type="paragraph" w:styleId="15">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6">
    <w:name w:val="Title"/>
    <w:basedOn w:val="1"/>
    <w:next w:val="1"/>
    <w:link w:val="30"/>
    <w:qFormat/>
    <w:uiPriority w:val="99"/>
    <w:pPr>
      <w:widowControl/>
      <w:spacing w:before="240" w:after="60"/>
      <w:jc w:val="center"/>
      <w:outlineLvl w:val="0"/>
    </w:pPr>
    <w:rPr>
      <w:rFonts w:ascii="Cambria" w:hAnsi="Cambria"/>
      <w:b/>
      <w:bCs/>
      <w:kern w:val="28"/>
      <w:sz w:val="32"/>
      <w:szCs w:val="32"/>
    </w:rPr>
  </w:style>
  <w:style w:type="character" w:styleId="19">
    <w:name w:val="Strong"/>
    <w:basedOn w:val="18"/>
    <w:qFormat/>
    <w:uiPriority w:val="0"/>
    <w:rPr>
      <w:rFonts w:cs="Times New Roman"/>
      <w:b/>
      <w:bCs/>
    </w:rPr>
  </w:style>
  <w:style w:type="character" w:styleId="20">
    <w:name w:val="Emphasis"/>
    <w:basedOn w:val="18"/>
    <w:qFormat/>
    <w:uiPriority w:val="99"/>
    <w:rPr>
      <w:rFonts w:ascii="Calibri" w:hAnsi="Calibri" w:cs="Times New Roman"/>
      <w:b/>
      <w:i/>
      <w:iCs/>
    </w:rPr>
  </w:style>
  <w:style w:type="character" w:customStyle="1" w:styleId="21">
    <w:name w:val="标题 1 Char"/>
    <w:basedOn w:val="18"/>
    <w:link w:val="2"/>
    <w:qFormat/>
    <w:locked/>
    <w:uiPriority w:val="99"/>
    <w:rPr>
      <w:rFonts w:ascii="Cambria" w:hAnsi="Cambria" w:eastAsia="宋体" w:cs="Times New Roman"/>
      <w:b/>
      <w:bCs/>
      <w:kern w:val="32"/>
      <w:sz w:val="32"/>
      <w:szCs w:val="32"/>
    </w:rPr>
  </w:style>
  <w:style w:type="character" w:customStyle="1" w:styleId="22">
    <w:name w:val="标题 2 Char"/>
    <w:basedOn w:val="18"/>
    <w:link w:val="3"/>
    <w:semiHidden/>
    <w:qFormat/>
    <w:locked/>
    <w:uiPriority w:val="99"/>
    <w:rPr>
      <w:rFonts w:ascii="Cambria" w:hAnsi="Cambria" w:eastAsia="宋体" w:cs="Times New Roman"/>
      <w:b/>
      <w:bCs/>
      <w:i/>
      <w:iCs/>
      <w:sz w:val="28"/>
      <w:szCs w:val="28"/>
    </w:rPr>
  </w:style>
  <w:style w:type="character" w:customStyle="1" w:styleId="23">
    <w:name w:val="标题 3 Char"/>
    <w:basedOn w:val="18"/>
    <w:link w:val="4"/>
    <w:semiHidden/>
    <w:qFormat/>
    <w:locked/>
    <w:uiPriority w:val="99"/>
    <w:rPr>
      <w:rFonts w:ascii="Cambria" w:hAnsi="Cambria" w:eastAsia="宋体" w:cs="Times New Roman"/>
      <w:b/>
      <w:bCs/>
      <w:sz w:val="26"/>
      <w:szCs w:val="26"/>
    </w:rPr>
  </w:style>
  <w:style w:type="character" w:customStyle="1" w:styleId="24">
    <w:name w:val="标题 4 Char"/>
    <w:basedOn w:val="18"/>
    <w:link w:val="5"/>
    <w:semiHidden/>
    <w:qFormat/>
    <w:locked/>
    <w:uiPriority w:val="99"/>
    <w:rPr>
      <w:rFonts w:cs="Times New Roman"/>
      <w:b/>
      <w:bCs/>
      <w:sz w:val="28"/>
      <w:szCs w:val="28"/>
    </w:rPr>
  </w:style>
  <w:style w:type="character" w:customStyle="1" w:styleId="25">
    <w:name w:val="标题 5 Char"/>
    <w:basedOn w:val="18"/>
    <w:link w:val="6"/>
    <w:semiHidden/>
    <w:qFormat/>
    <w:locked/>
    <w:uiPriority w:val="99"/>
    <w:rPr>
      <w:rFonts w:cs="Times New Roman"/>
      <w:b/>
      <w:bCs/>
      <w:i/>
      <w:iCs/>
      <w:sz w:val="26"/>
      <w:szCs w:val="26"/>
    </w:rPr>
  </w:style>
  <w:style w:type="character" w:customStyle="1" w:styleId="26">
    <w:name w:val="标题 6 Char"/>
    <w:basedOn w:val="18"/>
    <w:link w:val="7"/>
    <w:semiHidden/>
    <w:qFormat/>
    <w:locked/>
    <w:uiPriority w:val="99"/>
    <w:rPr>
      <w:rFonts w:cs="Times New Roman"/>
      <w:b/>
      <w:bCs/>
    </w:rPr>
  </w:style>
  <w:style w:type="character" w:customStyle="1" w:styleId="27">
    <w:name w:val="标题 7 Char"/>
    <w:basedOn w:val="18"/>
    <w:link w:val="8"/>
    <w:semiHidden/>
    <w:qFormat/>
    <w:locked/>
    <w:uiPriority w:val="99"/>
    <w:rPr>
      <w:rFonts w:cs="Times New Roman"/>
      <w:sz w:val="24"/>
      <w:szCs w:val="24"/>
    </w:rPr>
  </w:style>
  <w:style w:type="character" w:customStyle="1" w:styleId="28">
    <w:name w:val="标题 8 Char"/>
    <w:basedOn w:val="18"/>
    <w:link w:val="9"/>
    <w:semiHidden/>
    <w:qFormat/>
    <w:locked/>
    <w:uiPriority w:val="99"/>
    <w:rPr>
      <w:rFonts w:cs="Times New Roman"/>
      <w:i/>
      <w:iCs/>
      <w:sz w:val="24"/>
      <w:szCs w:val="24"/>
    </w:rPr>
  </w:style>
  <w:style w:type="character" w:customStyle="1" w:styleId="29">
    <w:name w:val="标题 9 Char"/>
    <w:basedOn w:val="18"/>
    <w:link w:val="10"/>
    <w:semiHidden/>
    <w:qFormat/>
    <w:locked/>
    <w:uiPriority w:val="99"/>
    <w:rPr>
      <w:rFonts w:ascii="Cambria" w:hAnsi="Cambria" w:eastAsia="宋体" w:cs="Times New Roman"/>
    </w:rPr>
  </w:style>
  <w:style w:type="character" w:customStyle="1" w:styleId="30">
    <w:name w:val="标题 Char"/>
    <w:basedOn w:val="18"/>
    <w:link w:val="16"/>
    <w:qFormat/>
    <w:locked/>
    <w:uiPriority w:val="99"/>
    <w:rPr>
      <w:rFonts w:ascii="Cambria" w:hAnsi="Cambria" w:eastAsia="宋体" w:cs="Times New Roman"/>
      <w:b/>
      <w:bCs/>
      <w:kern w:val="28"/>
      <w:sz w:val="32"/>
      <w:szCs w:val="32"/>
    </w:rPr>
  </w:style>
  <w:style w:type="character" w:customStyle="1" w:styleId="31">
    <w:name w:val="副标题 Char"/>
    <w:basedOn w:val="18"/>
    <w:link w:val="14"/>
    <w:locked/>
    <w:uiPriority w:val="99"/>
    <w:rPr>
      <w:rFonts w:ascii="Cambria" w:hAnsi="Cambria" w:eastAsia="宋体" w:cs="Times New Roman"/>
      <w:sz w:val="24"/>
      <w:szCs w:val="24"/>
    </w:rPr>
  </w:style>
  <w:style w:type="paragraph" w:customStyle="1" w:styleId="32">
    <w:name w:val="无间隔1"/>
    <w:basedOn w:val="1"/>
    <w:qFormat/>
    <w:uiPriority w:val="99"/>
    <w:pPr>
      <w:widowControl/>
      <w:jc w:val="left"/>
    </w:pPr>
    <w:rPr>
      <w:rFonts w:ascii="Calibri" w:hAnsi="Calibri"/>
      <w:kern w:val="0"/>
      <w:sz w:val="24"/>
      <w:szCs w:val="32"/>
      <w:lang w:eastAsia="en-US"/>
    </w:rPr>
  </w:style>
  <w:style w:type="paragraph" w:customStyle="1" w:styleId="33">
    <w:name w:val="列出段落1"/>
    <w:basedOn w:val="1"/>
    <w:qFormat/>
    <w:uiPriority w:val="99"/>
    <w:pPr>
      <w:widowControl/>
      <w:ind w:left="720"/>
      <w:contextualSpacing/>
      <w:jc w:val="left"/>
    </w:pPr>
    <w:rPr>
      <w:rFonts w:ascii="Calibri" w:hAnsi="Calibri"/>
      <w:kern w:val="0"/>
      <w:sz w:val="24"/>
      <w:lang w:eastAsia="en-US"/>
    </w:rPr>
  </w:style>
  <w:style w:type="paragraph" w:customStyle="1" w:styleId="34">
    <w:name w:val="引用1"/>
    <w:basedOn w:val="1"/>
    <w:next w:val="1"/>
    <w:link w:val="35"/>
    <w:qFormat/>
    <w:uiPriority w:val="99"/>
    <w:pPr>
      <w:widowControl/>
      <w:jc w:val="left"/>
    </w:pPr>
    <w:rPr>
      <w:rFonts w:ascii="Calibri" w:hAnsi="Calibri"/>
      <w:i/>
      <w:kern w:val="0"/>
      <w:sz w:val="24"/>
    </w:rPr>
  </w:style>
  <w:style w:type="character" w:customStyle="1" w:styleId="35">
    <w:name w:val="Quote Char"/>
    <w:basedOn w:val="18"/>
    <w:link w:val="34"/>
    <w:qFormat/>
    <w:locked/>
    <w:uiPriority w:val="99"/>
    <w:rPr>
      <w:rFonts w:cs="Times New Roman"/>
      <w:i/>
      <w:sz w:val="24"/>
      <w:szCs w:val="24"/>
    </w:rPr>
  </w:style>
  <w:style w:type="paragraph" w:customStyle="1" w:styleId="36">
    <w:name w:val="明显引用1"/>
    <w:basedOn w:val="1"/>
    <w:next w:val="1"/>
    <w:link w:val="37"/>
    <w:qFormat/>
    <w:uiPriority w:val="99"/>
    <w:pPr>
      <w:widowControl/>
      <w:ind w:left="720" w:right="720"/>
      <w:jc w:val="left"/>
    </w:pPr>
    <w:rPr>
      <w:rFonts w:ascii="Calibri" w:hAnsi="Calibri"/>
      <w:b/>
      <w:i/>
      <w:kern w:val="0"/>
      <w:sz w:val="24"/>
      <w:szCs w:val="22"/>
    </w:rPr>
  </w:style>
  <w:style w:type="character" w:customStyle="1" w:styleId="37">
    <w:name w:val="Intense Quote Char"/>
    <w:basedOn w:val="18"/>
    <w:link w:val="36"/>
    <w:qFormat/>
    <w:locked/>
    <w:uiPriority w:val="99"/>
    <w:rPr>
      <w:rFonts w:cs="Times New Roman"/>
      <w:b/>
      <w:i/>
      <w:sz w:val="24"/>
    </w:rPr>
  </w:style>
  <w:style w:type="character" w:customStyle="1" w:styleId="38">
    <w:name w:val="不明显强调1"/>
    <w:basedOn w:val="18"/>
    <w:qFormat/>
    <w:uiPriority w:val="99"/>
    <w:rPr>
      <w:i/>
      <w:color w:val="5A5A5A"/>
    </w:rPr>
  </w:style>
  <w:style w:type="character" w:customStyle="1" w:styleId="39">
    <w:name w:val="明显强调1"/>
    <w:basedOn w:val="18"/>
    <w:qFormat/>
    <w:uiPriority w:val="99"/>
    <w:rPr>
      <w:rFonts w:cs="Times New Roman"/>
      <w:b/>
      <w:i/>
      <w:sz w:val="24"/>
      <w:szCs w:val="24"/>
      <w:u w:val="single"/>
    </w:rPr>
  </w:style>
  <w:style w:type="character" w:customStyle="1" w:styleId="40">
    <w:name w:val="不明显参考1"/>
    <w:basedOn w:val="18"/>
    <w:qFormat/>
    <w:uiPriority w:val="99"/>
    <w:rPr>
      <w:rFonts w:cs="Times New Roman"/>
      <w:sz w:val="24"/>
      <w:szCs w:val="24"/>
      <w:u w:val="single"/>
    </w:rPr>
  </w:style>
  <w:style w:type="character" w:customStyle="1" w:styleId="41">
    <w:name w:val="明显参考1"/>
    <w:basedOn w:val="18"/>
    <w:qFormat/>
    <w:uiPriority w:val="99"/>
    <w:rPr>
      <w:rFonts w:cs="Times New Roman"/>
      <w:b/>
      <w:sz w:val="24"/>
      <w:u w:val="single"/>
    </w:rPr>
  </w:style>
  <w:style w:type="character" w:customStyle="1" w:styleId="42">
    <w:name w:val="书籍标题1"/>
    <w:basedOn w:val="18"/>
    <w:qFormat/>
    <w:uiPriority w:val="99"/>
    <w:rPr>
      <w:rFonts w:ascii="Cambria" w:hAnsi="Cambria" w:eastAsia="宋体" w:cs="Times New Roman"/>
      <w:b/>
      <w:i/>
      <w:sz w:val="24"/>
      <w:szCs w:val="24"/>
    </w:rPr>
  </w:style>
  <w:style w:type="paragraph" w:customStyle="1" w:styleId="43">
    <w:name w:val="TOC 标题1"/>
    <w:basedOn w:val="2"/>
    <w:next w:val="1"/>
    <w:qFormat/>
    <w:uiPriority w:val="99"/>
    <w:pPr>
      <w:outlineLvl w:val="9"/>
    </w:pPr>
    <w:rPr>
      <w:lang w:eastAsia="en-US"/>
    </w:rPr>
  </w:style>
  <w:style w:type="character" w:customStyle="1" w:styleId="44">
    <w:name w:val="页眉 Char"/>
    <w:basedOn w:val="18"/>
    <w:link w:val="13"/>
    <w:qFormat/>
    <w:locked/>
    <w:uiPriority w:val="99"/>
    <w:rPr>
      <w:rFonts w:ascii="Calibri" w:hAnsi="Calibri" w:eastAsia="宋体" w:cs="Times New Roman"/>
      <w:kern w:val="2"/>
      <w:sz w:val="18"/>
      <w:szCs w:val="18"/>
    </w:rPr>
  </w:style>
  <w:style w:type="character" w:customStyle="1" w:styleId="45">
    <w:name w:val="页脚 Char"/>
    <w:basedOn w:val="18"/>
    <w:link w:val="12"/>
    <w:qFormat/>
    <w:locked/>
    <w:uiPriority w:val="99"/>
    <w:rPr>
      <w:rFonts w:ascii="Calibri" w:hAnsi="Calibri" w:eastAsia="宋体" w:cs="Times New Roman"/>
      <w:kern w:val="2"/>
      <w:sz w:val="18"/>
      <w:szCs w:val="18"/>
    </w:rPr>
  </w:style>
  <w:style w:type="character" w:customStyle="1" w:styleId="46">
    <w:name w:val="批注框文本 Char"/>
    <w:basedOn w:val="18"/>
    <w:link w:val="11"/>
    <w:semiHidden/>
    <w:qFormat/>
    <w:locked/>
    <w:uiPriority w:val="99"/>
    <w:rPr>
      <w:rFonts w:ascii="Times New Roman" w:hAnsi="Times New Roman" w:eastAsia="宋体" w:cs="Times New Roman"/>
      <w:kern w:val="2"/>
      <w:sz w:val="18"/>
      <w:szCs w:val="18"/>
    </w:rPr>
  </w:style>
  <w:style w:type="paragraph" w:customStyle="1" w:styleId="47">
    <w:name w:val="Char"/>
    <w:basedOn w:val="1"/>
    <w:qFormat/>
    <w:uiPriority w:val="99"/>
    <w:pPr>
      <w:spacing w:line="365" w:lineRule="atLeast"/>
      <w:ind w:left="1"/>
      <w:textAlignment w:val="bottom"/>
    </w:pPr>
    <w:rPr>
      <w:rFonts w:ascii="宋体" w:hAnsi="宋体" w:cs="Courier New"/>
      <w:kern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1DC0AA-F548-41FC-B113-EE55FB4EC58B}">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696</Words>
  <Characters>3972</Characters>
  <Lines>33</Lines>
  <Paragraphs>9</Paragraphs>
  <TotalTime>77</TotalTime>
  <ScaleCrop>false</ScaleCrop>
  <LinksUpToDate>false</LinksUpToDate>
  <CharactersWithSpaces>4659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2021-05-29T12:08:17Z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B89993943DF2419288C1FCD96BC1704A</vt:lpwstr>
  </property>
</Properties>
</file>