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640" w:firstLineChars="200"/>
        <w:rPr>
          <w:rFonts w:ascii="黑体" w:hAnsi="黑体" w:eastAsia="黑体"/>
          <w:sz w:val="32"/>
          <w:szCs w:val="32"/>
        </w:rPr>
      </w:pPr>
    </w:p>
    <w:p>
      <w:pPr>
        <w:spacing w:line="600" w:lineRule="exact"/>
        <w:ind w:firstLine="883" w:firstLineChars="200"/>
        <w:jc w:val="center"/>
        <w:rPr>
          <w:rFonts w:eastAsia="方正小标宋_GBK" w:asciiTheme="minorHAnsi" w:hAnsiTheme="minorHAnsi"/>
          <w:b/>
          <w:bCs/>
          <w:sz w:val="44"/>
          <w:szCs w:val="44"/>
        </w:rPr>
      </w:pPr>
      <w:r>
        <w:rPr>
          <w:rFonts w:hint="eastAsia" w:ascii="方正小标宋_GBK" w:hAnsi="宋体" w:eastAsia="方正小标宋_GBK"/>
          <w:b/>
          <w:bCs/>
          <w:sz w:val="44"/>
          <w:szCs w:val="44"/>
        </w:rPr>
        <w:t>2018年度新疆</w:t>
      </w:r>
      <w:r>
        <w:rPr>
          <w:rFonts w:hint="eastAsia" w:ascii="方正小标宋_GBK" w:hAnsi="宋体" w:eastAsia="方正小标宋_GBK"/>
          <w:b/>
          <w:bCs/>
          <w:sz w:val="44"/>
          <w:szCs w:val="44"/>
          <w:lang w:eastAsia="zh-CN"/>
        </w:rPr>
        <w:t>巴音郭楞蒙古自治州</w:t>
      </w:r>
      <w:r>
        <w:rPr>
          <w:rFonts w:hint="eastAsia" w:ascii="方正小标宋_GBK" w:hAnsi="宋体" w:eastAsia="方正小标宋_GBK"/>
          <w:b/>
          <w:bCs/>
          <w:sz w:val="44"/>
          <w:szCs w:val="44"/>
        </w:rPr>
        <w:t>和静县第六小学部门决算公开说明</w:t>
      </w:r>
    </w:p>
    <w:p>
      <w:pPr>
        <w:spacing w:line="600" w:lineRule="exact"/>
        <w:ind w:firstLine="880" w:firstLineChars="200"/>
        <w:jc w:val="center"/>
        <w:rPr>
          <w:rFonts w:eastAsia="方正小标宋_GBK" w:asciiTheme="minorHAnsi" w:hAnsiTheme="minorHAnsi"/>
          <w:sz w:val="44"/>
          <w:szCs w:val="44"/>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hint="eastAsia" w:ascii="黑体" w:hAnsi="黑体" w:eastAsia="黑体"/>
          <w:bCs/>
          <w:kern w:val="0"/>
          <w:sz w:val="32"/>
          <w:szCs w:val="32"/>
        </w:rPr>
      </w:pPr>
    </w:p>
    <w:p>
      <w:pPr>
        <w:spacing w:line="600" w:lineRule="exact"/>
        <w:ind w:firstLine="640" w:firstLineChars="200"/>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600" w:lineRule="exact"/>
        <w:ind w:firstLine="643" w:firstLineChars="200"/>
        <w:rPr>
          <w:rFonts w:ascii="仿宋_GB2312" w:hAnsi="宋体" w:eastAsia="仿宋_GB2312"/>
          <w:b/>
          <w:kern w:val="0"/>
          <w:sz w:val="32"/>
          <w:szCs w:val="32"/>
        </w:rPr>
      </w:pP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60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（二）预算绩效情况的说明</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60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《政府性基金预算财政拨款收入支出决算表》</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eastAsia="仿宋_GB2312" w:asciiTheme="minorHAnsi" w:hAnsiTheme="minorHAnsi"/>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第一部分   部门单位概况</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一、主要职能：</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（1）宣传贯彻执行党和国家的教育方针、政策、法律法规等</w:t>
      </w:r>
      <w:r>
        <w:rPr>
          <w:rFonts w:hint="eastAsia" w:ascii="仿宋_GB2312" w:eastAsia="仿宋_GB2312"/>
          <w:sz w:val="32"/>
          <w:szCs w:val="32"/>
          <w:highlight w:val="none"/>
          <w:lang w:eastAsia="zh-CN"/>
        </w:rPr>
        <w:t>，</w:t>
      </w:r>
      <w:r>
        <w:rPr>
          <w:rFonts w:hint="eastAsia" w:ascii="仿宋_GB2312" w:eastAsia="仿宋_GB2312"/>
          <w:sz w:val="32"/>
          <w:szCs w:val="32"/>
        </w:rPr>
        <w:t>坚持依法治教、依法治学</w:t>
      </w:r>
      <w:r>
        <w:rPr>
          <w:rFonts w:hint="eastAsia" w:ascii="仿宋_GB2312" w:eastAsia="仿宋_GB2312"/>
          <w:sz w:val="32"/>
          <w:szCs w:val="32"/>
          <w:highlight w:val="none"/>
          <w:lang w:eastAsia="zh-CN"/>
        </w:rPr>
        <w:t>，</w:t>
      </w:r>
      <w:r>
        <w:rPr>
          <w:rFonts w:hint="eastAsia" w:ascii="仿宋_GB2312" w:eastAsia="仿宋_GB2312"/>
          <w:sz w:val="32"/>
          <w:szCs w:val="32"/>
        </w:rPr>
        <w:t>贯彻执行县教科局的行政规章制度。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（2）配合县、镇人民政府制定符合党的教育方针和国家教育法律法规以及本校实际的教育发展规划和学校布局调整规划</w:t>
      </w:r>
      <w:r>
        <w:rPr>
          <w:rFonts w:hint="eastAsia" w:ascii="仿宋_GB2312" w:eastAsia="仿宋_GB2312"/>
          <w:sz w:val="32"/>
          <w:szCs w:val="32"/>
          <w:highlight w:val="none"/>
          <w:lang w:eastAsia="zh-CN"/>
        </w:rPr>
        <w:t>，</w:t>
      </w:r>
      <w:r>
        <w:rPr>
          <w:rFonts w:hint="eastAsia" w:ascii="仿宋_GB2312" w:eastAsia="仿宋_GB2312"/>
          <w:sz w:val="32"/>
          <w:szCs w:val="32"/>
        </w:rPr>
        <w:t>并抓好组织实施和落实工作。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（3）组织开展本校的教育教学科研和教育教学改革</w:t>
      </w:r>
      <w:r>
        <w:rPr>
          <w:rFonts w:hint="eastAsia" w:ascii="仿宋_GB2312" w:eastAsia="仿宋_GB2312"/>
          <w:sz w:val="32"/>
          <w:szCs w:val="32"/>
          <w:highlight w:val="none"/>
          <w:lang w:eastAsia="zh-CN"/>
        </w:rPr>
        <w:t>，</w:t>
      </w:r>
      <w:r>
        <w:rPr>
          <w:rFonts w:hint="eastAsia" w:ascii="仿宋_GB2312" w:eastAsia="仿宋_GB2312"/>
          <w:sz w:val="32"/>
          <w:szCs w:val="32"/>
        </w:rPr>
        <w:t>科研兴教</w:t>
      </w:r>
      <w:r>
        <w:rPr>
          <w:rFonts w:hint="eastAsia" w:ascii="仿宋_GB2312" w:eastAsia="仿宋_GB2312"/>
          <w:sz w:val="32"/>
          <w:szCs w:val="32"/>
          <w:highlight w:val="none"/>
          <w:lang w:eastAsia="zh-CN"/>
        </w:rPr>
        <w:t>，</w:t>
      </w:r>
      <w:r>
        <w:rPr>
          <w:rFonts w:hint="eastAsia" w:ascii="仿宋_GB2312" w:eastAsia="仿宋_GB2312"/>
          <w:sz w:val="32"/>
          <w:szCs w:val="32"/>
        </w:rPr>
        <w:t>科研兴校。负责对本校教育教学业务的具体管理</w:t>
      </w:r>
      <w:r>
        <w:rPr>
          <w:rFonts w:hint="eastAsia" w:ascii="仿宋_GB2312" w:eastAsia="仿宋_GB2312"/>
          <w:sz w:val="32"/>
          <w:szCs w:val="32"/>
          <w:highlight w:val="none"/>
          <w:lang w:eastAsia="zh-CN"/>
        </w:rPr>
        <w:t>，</w:t>
      </w:r>
      <w:r>
        <w:rPr>
          <w:rFonts w:hint="eastAsia" w:ascii="仿宋_GB2312" w:eastAsia="仿宋_GB2312"/>
          <w:sz w:val="32"/>
          <w:szCs w:val="32"/>
        </w:rPr>
        <w:t>负责教育教学管理及教研教改工作</w:t>
      </w:r>
      <w:r>
        <w:rPr>
          <w:rFonts w:hint="eastAsia" w:ascii="仿宋_GB2312" w:eastAsia="仿宋_GB2312"/>
          <w:sz w:val="32"/>
          <w:szCs w:val="32"/>
          <w:highlight w:val="none"/>
          <w:lang w:eastAsia="zh-CN"/>
        </w:rPr>
        <w:t>，</w:t>
      </w:r>
      <w:r>
        <w:rPr>
          <w:rFonts w:hint="eastAsia" w:ascii="仿宋_GB2312" w:eastAsia="仿宋_GB2312"/>
          <w:sz w:val="32"/>
          <w:szCs w:val="32"/>
        </w:rPr>
        <w:t>全力推进素质教育实施。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（4）按照干部和教师的职数、编制和管理权限</w:t>
      </w:r>
      <w:r>
        <w:rPr>
          <w:rFonts w:hint="eastAsia" w:ascii="仿宋_GB2312" w:eastAsia="仿宋_GB2312"/>
          <w:sz w:val="32"/>
          <w:szCs w:val="32"/>
          <w:highlight w:val="none"/>
          <w:lang w:eastAsia="zh-CN"/>
        </w:rPr>
        <w:t>，</w:t>
      </w:r>
      <w:r>
        <w:rPr>
          <w:rFonts w:hint="eastAsia" w:ascii="仿宋_GB2312" w:eastAsia="仿宋_GB2312"/>
          <w:sz w:val="32"/>
          <w:szCs w:val="32"/>
        </w:rPr>
        <w:t>负责本校教师人事管理、继续教育、考核考评等工作。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（5）负责本校财务和基建管理</w:t>
      </w:r>
      <w:r>
        <w:rPr>
          <w:rFonts w:hint="eastAsia" w:ascii="仿宋_GB2312" w:eastAsia="仿宋_GB2312"/>
          <w:sz w:val="32"/>
          <w:szCs w:val="32"/>
          <w:highlight w:val="none"/>
          <w:lang w:eastAsia="zh-CN"/>
        </w:rPr>
        <w:t>，</w:t>
      </w:r>
      <w:r>
        <w:rPr>
          <w:rFonts w:hint="eastAsia" w:ascii="仿宋_GB2312" w:eastAsia="仿宋_GB2312"/>
          <w:sz w:val="32"/>
          <w:szCs w:val="32"/>
        </w:rPr>
        <w:t>筹措资金</w:t>
      </w:r>
      <w:r>
        <w:rPr>
          <w:rFonts w:hint="eastAsia" w:ascii="仿宋_GB2312" w:eastAsia="仿宋_GB2312"/>
          <w:sz w:val="32"/>
          <w:szCs w:val="32"/>
          <w:highlight w:val="none"/>
          <w:lang w:eastAsia="zh-CN"/>
        </w:rPr>
        <w:t>，</w:t>
      </w:r>
      <w:r>
        <w:rPr>
          <w:rFonts w:hint="eastAsia" w:ascii="仿宋_GB2312" w:eastAsia="仿宋_GB2312"/>
          <w:sz w:val="32"/>
          <w:szCs w:val="32"/>
        </w:rPr>
        <w:t>改善办学条件等工作。　　</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（6）指导、管理、检查、评价本校的教育教学工作</w:t>
      </w:r>
      <w:r>
        <w:rPr>
          <w:rFonts w:hint="eastAsia" w:ascii="仿宋_GB2312" w:eastAsia="仿宋_GB2312"/>
          <w:sz w:val="32"/>
          <w:szCs w:val="32"/>
          <w:highlight w:val="none"/>
          <w:lang w:eastAsia="zh-CN"/>
        </w:rPr>
        <w:t>，</w:t>
      </w:r>
      <w:r>
        <w:rPr>
          <w:rFonts w:hint="eastAsia" w:ascii="仿宋_GB2312" w:eastAsia="仿宋_GB2312"/>
          <w:sz w:val="32"/>
          <w:szCs w:val="32"/>
        </w:rPr>
        <w:t>提高办学质量和办学效益。按照义务教育课程计划</w:t>
      </w:r>
      <w:r>
        <w:rPr>
          <w:rFonts w:hint="eastAsia" w:ascii="仿宋_GB2312" w:eastAsia="仿宋_GB2312"/>
          <w:sz w:val="32"/>
          <w:szCs w:val="32"/>
          <w:highlight w:val="none"/>
          <w:lang w:eastAsia="zh-CN"/>
        </w:rPr>
        <w:t>，</w:t>
      </w:r>
      <w:r>
        <w:rPr>
          <w:rFonts w:hint="eastAsia" w:ascii="仿宋_GB2312" w:eastAsia="仿宋_GB2312"/>
          <w:sz w:val="32"/>
          <w:szCs w:val="32"/>
        </w:rPr>
        <w:t>开齐课程</w:t>
      </w:r>
      <w:r>
        <w:rPr>
          <w:rFonts w:hint="eastAsia" w:ascii="仿宋_GB2312" w:eastAsia="仿宋_GB2312"/>
          <w:sz w:val="32"/>
          <w:szCs w:val="32"/>
          <w:highlight w:val="none"/>
          <w:lang w:eastAsia="zh-CN"/>
        </w:rPr>
        <w:t>，</w:t>
      </w:r>
      <w:r>
        <w:rPr>
          <w:rFonts w:hint="eastAsia" w:ascii="仿宋_GB2312" w:eastAsia="仿宋_GB2312"/>
          <w:sz w:val="32"/>
          <w:szCs w:val="32"/>
        </w:rPr>
        <w:t>开足课时</w:t>
      </w:r>
      <w:r>
        <w:rPr>
          <w:rFonts w:hint="eastAsia" w:ascii="仿宋_GB2312" w:eastAsia="仿宋_GB2312"/>
          <w:sz w:val="32"/>
          <w:szCs w:val="32"/>
          <w:highlight w:val="none"/>
          <w:lang w:eastAsia="zh-CN"/>
        </w:rPr>
        <w:t>，</w:t>
      </w:r>
      <w:r>
        <w:rPr>
          <w:rFonts w:hint="eastAsia" w:ascii="仿宋_GB2312" w:eastAsia="仿宋_GB2312"/>
          <w:sz w:val="32"/>
          <w:szCs w:val="32"/>
        </w:rPr>
        <w:t>认真实施小学的教育教学管理</w:t>
      </w:r>
      <w:r>
        <w:rPr>
          <w:rFonts w:hint="eastAsia" w:ascii="仿宋_GB2312" w:eastAsia="仿宋_GB2312"/>
          <w:sz w:val="32"/>
          <w:szCs w:val="32"/>
          <w:highlight w:val="none"/>
          <w:lang w:eastAsia="zh-CN"/>
        </w:rPr>
        <w:t>，</w:t>
      </w:r>
      <w:r>
        <w:rPr>
          <w:rFonts w:hint="eastAsia" w:ascii="仿宋_GB2312" w:eastAsia="仿宋_GB2312"/>
          <w:sz w:val="32"/>
          <w:szCs w:val="32"/>
        </w:rPr>
        <w:t>全面推进素质教育</w:t>
      </w:r>
      <w:r>
        <w:rPr>
          <w:rFonts w:hint="eastAsia" w:ascii="仿宋_GB2312" w:eastAsia="仿宋_GB2312"/>
          <w:sz w:val="32"/>
          <w:szCs w:val="32"/>
          <w:highlight w:val="none"/>
          <w:lang w:eastAsia="zh-CN"/>
        </w:rPr>
        <w:t>，</w:t>
      </w:r>
      <w:r>
        <w:rPr>
          <w:rFonts w:hint="eastAsia" w:ascii="仿宋_GB2312" w:eastAsia="仿宋_GB2312"/>
          <w:sz w:val="32"/>
          <w:szCs w:val="32"/>
        </w:rPr>
        <w:t>全面提高教育教学质量。</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二、机构设置情况</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从决算单位构成看，新疆巴音郭楞蒙古自治州和静县第六小学部门决算包括：新疆巴音郭楞蒙古自治州和静县第六小学部门本级决算。</w:t>
      </w:r>
    </w:p>
    <w:p>
      <w:pPr>
        <w:spacing w:line="600" w:lineRule="exact"/>
        <w:ind w:firstLine="640" w:firstLineChars="200"/>
        <w:rPr>
          <w:rFonts w:eastAsia="仿宋_GB2312" w:asciiTheme="minorHAnsi" w:hAnsiTheme="minorHAnsi"/>
          <w:spacing w:val="-6"/>
          <w:sz w:val="32"/>
          <w:szCs w:val="32"/>
        </w:rPr>
      </w:pPr>
      <w:r>
        <w:rPr>
          <w:rFonts w:hint="eastAsia" w:ascii="仿宋_GB2312" w:eastAsia="仿宋_GB2312"/>
          <w:sz w:val="32"/>
          <w:szCs w:val="32"/>
        </w:rPr>
        <w:t>纳入新疆巴音郭楞蒙古自治州和静县第六小学2018年部门决算编制范围的单位名单见下表</w:t>
      </w:r>
      <w:r>
        <w:rPr>
          <w:rFonts w:hint="eastAsia" w:ascii="仿宋_GB2312" w:eastAsia="仿宋_GB2312"/>
          <w:spacing w:val="-6"/>
          <w:sz w:val="32"/>
          <w:szCs w:val="32"/>
        </w:rPr>
        <w:t>：</w:t>
      </w:r>
    </w:p>
    <w:p>
      <w:pPr>
        <w:spacing w:line="600" w:lineRule="exact"/>
        <w:ind w:firstLine="616" w:firstLineChars="200"/>
        <w:rPr>
          <w:rFonts w:eastAsia="仿宋_GB2312" w:asciiTheme="minorHAnsi" w:hAnsiTheme="minorHAnsi"/>
          <w:spacing w:val="-6"/>
          <w:sz w:val="32"/>
          <w:szCs w:val="32"/>
        </w:rPr>
      </w:pPr>
    </w:p>
    <w:tbl>
      <w:tblPr>
        <w:tblStyle w:val="9"/>
        <w:tblW w:w="9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7065"/>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trPr>
        <w:tc>
          <w:tcPr>
            <w:tcW w:w="1263"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序号</w:t>
            </w:r>
          </w:p>
        </w:tc>
        <w:tc>
          <w:tcPr>
            <w:tcW w:w="7065"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单位名称</w:t>
            </w:r>
          </w:p>
        </w:tc>
        <w:tc>
          <w:tcPr>
            <w:tcW w:w="1196" w:type="dxa"/>
            <w:vAlign w:val="center"/>
          </w:tcPr>
          <w:p>
            <w:pPr>
              <w:spacing w:line="600" w:lineRule="exact"/>
              <w:ind w:firstLine="200"/>
              <w:jc w:val="center"/>
              <w:rPr>
                <w:rFonts w:ascii="仿宋_GB2312" w:eastAsia="仿宋_GB2312"/>
                <w:sz w:val="32"/>
                <w:szCs w:val="32"/>
              </w:rPr>
            </w:pPr>
            <w:r>
              <w:rPr>
                <w:rFonts w:hint="eastAsia" w:ascii="仿宋_GB2312" w:eastAsia="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exact"/>
        </w:trPr>
        <w:tc>
          <w:tcPr>
            <w:tcW w:w="1263" w:type="dxa"/>
            <w:vAlign w:val="center"/>
          </w:tcPr>
          <w:p>
            <w:pPr>
              <w:spacing w:line="600" w:lineRule="exact"/>
              <w:ind w:firstLine="640" w:firstLineChars="200"/>
              <w:rPr>
                <w:rFonts w:ascii="仿宋_GB2312" w:eastAsia="仿宋_GB2312"/>
                <w:sz w:val="32"/>
                <w:szCs w:val="32"/>
              </w:rPr>
            </w:pPr>
            <w:r>
              <w:rPr>
                <w:rFonts w:hint="eastAsia" w:ascii="仿宋_GB2312" w:eastAsia="仿宋_GB2312"/>
                <w:sz w:val="32"/>
                <w:szCs w:val="32"/>
              </w:rPr>
              <w:t>1</w:t>
            </w:r>
          </w:p>
        </w:tc>
        <w:tc>
          <w:tcPr>
            <w:tcW w:w="7065" w:type="dxa"/>
            <w:vAlign w:val="center"/>
          </w:tcPr>
          <w:p>
            <w:pPr>
              <w:spacing w:line="600" w:lineRule="exact"/>
              <w:ind w:firstLine="200"/>
              <w:rPr>
                <w:rFonts w:ascii="仿宋_GB2312" w:eastAsia="仿宋_GB2312"/>
                <w:sz w:val="32"/>
                <w:szCs w:val="32"/>
              </w:rPr>
            </w:pPr>
            <w:r>
              <w:rPr>
                <w:rFonts w:hint="eastAsia" w:ascii="仿宋_GB2312" w:eastAsia="仿宋_GB2312"/>
                <w:sz w:val="32"/>
                <w:szCs w:val="32"/>
              </w:rPr>
              <w:t>新疆巴音郭楞蒙古自治州和静县第六小学</w:t>
            </w:r>
          </w:p>
        </w:tc>
        <w:tc>
          <w:tcPr>
            <w:tcW w:w="1196" w:type="dxa"/>
            <w:vAlign w:val="center"/>
          </w:tcPr>
          <w:p>
            <w:pPr>
              <w:spacing w:line="600" w:lineRule="exact"/>
              <w:ind w:firstLine="640" w:firstLineChars="200"/>
              <w:rPr>
                <w:rFonts w:ascii="仿宋_GB2312" w:eastAsia="仿宋_GB2312"/>
                <w:sz w:val="32"/>
                <w:szCs w:val="32"/>
              </w:rPr>
            </w:pPr>
          </w:p>
        </w:tc>
      </w:tr>
    </w:tbl>
    <w:p>
      <w:pPr>
        <w:spacing w:line="600" w:lineRule="exact"/>
        <w:ind w:firstLine="640" w:firstLineChars="200"/>
        <w:jc w:val="center"/>
        <w:rPr>
          <w:rFonts w:ascii="黑体" w:hAnsi="黑体" w:eastAsia="黑体"/>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第二部分 部门决算情况说明</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一、部门收支总体情况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2018年度收入2357.36万元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与上年相比，增加195.57万元，增长9.05%，增减变化主要原因是：本年度人员增加，工资调整；支出2357.36万元</w:t>
      </w:r>
      <w:r>
        <w:rPr>
          <w:rFonts w:hint="eastAsia" w:ascii="仿宋_GB2312" w:eastAsia="仿宋_GB2312"/>
          <w:sz w:val="32"/>
          <w:szCs w:val="32"/>
          <w:highlight w:val="none"/>
          <w:lang w:eastAsia="zh-CN"/>
        </w:rPr>
        <w:t>，</w:t>
      </w:r>
      <w:r>
        <w:rPr>
          <w:rFonts w:hint="eastAsia" w:ascii="仿宋_GB2312" w:eastAsia="仿宋_GB2312"/>
          <w:sz w:val="32"/>
          <w:szCs w:val="32"/>
        </w:rPr>
        <w:t>与上年相比，增加195.57万元，增长9.05%，增减变化主要原因是：本年度人员增加，工资调整，支出增加；结余0万元，与上年相比，增加0万元，增长0%，增减变化主要原因是：我单位本年度无结余。</w:t>
      </w:r>
    </w:p>
    <w:p>
      <w:pPr>
        <w:spacing w:line="600" w:lineRule="exact"/>
        <w:ind w:firstLine="643" w:firstLineChars="200"/>
        <w:rPr>
          <w:rFonts w:ascii="仿宋_GB2312" w:eastAsia="仿宋_GB2312"/>
          <w:sz w:val="32"/>
          <w:szCs w:val="32"/>
        </w:rPr>
      </w:pPr>
      <w:r>
        <w:rPr>
          <w:rFonts w:hint="eastAsia" w:ascii="楷体_GB2312" w:eastAsia="楷体_GB2312"/>
          <w:b/>
          <w:bCs/>
          <w:sz w:val="32"/>
          <w:szCs w:val="32"/>
        </w:rPr>
        <w:t>（二）部门收入总体情况说明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本年收入合计2357.36万元，其中：财政拨款收入2357.36万元，占100%；上级补助收入0万元，占0%；事业收入0万元，占0%；经营收入0万元，占0%；附属单位缴款0万元，占0%；其他收入0万元，占0%。</w:t>
      </w:r>
    </w:p>
    <w:p>
      <w:pPr>
        <w:spacing w:line="600" w:lineRule="exact"/>
        <w:ind w:firstLine="640" w:firstLineChars="200"/>
        <w:rPr>
          <w:rFonts w:ascii="仿宋_GB2312" w:eastAsia="仿宋_GB2312"/>
          <w:sz w:val="32"/>
          <w:szCs w:val="32"/>
        </w:rPr>
      </w:pPr>
      <w:r>
        <w:rPr>
          <w:rFonts w:hint="eastAsia" w:ascii="仿宋_GB2312" w:eastAsia="仿宋_GB2312" w:cs="仿宋_GB2312"/>
          <w:kern w:val="0"/>
          <w:sz w:val="32"/>
          <w:szCs w:val="32"/>
        </w:rPr>
        <w:t>与</w:t>
      </w:r>
      <w:r>
        <w:rPr>
          <w:rFonts w:hint="eastAsia" w:ascii="仿宋_GB2312" w:eastAsia="仿宋_GB2312"/>
          <w:sz w:val="32"/>
          <w:szCs w:val="32"/>
        </w:rPr>
        <w:t>年初</w:t>
      </w:r>
      <w:r>
        <w:rPr>
          <w:rFonts w:hint="eastAsia" w:ascii="仿宋_GB2312" w:eastAsia="仿宋_GB2312" w:cs="仿宋_GB2312"/>
          <w:kern w:val="0"/>
          <w:sz w:val="32"/>
          <w:szCs w:val="32"/>
        </w:rPr>
        <w:t>预算数相比情况</w:t>
      </w:r>
      <w:r>
        <w:rPr>
          <w:rFonts w:hint="eastAsia" w:ascii="仿宋_GB2312" w:eastAsia="仿宋_GB2312" w:cs="仿宋_GB2312"/>
          <w:kern w:val="0"/>
          <w:sz w:val="32"/>
          <w:szCs w:val="32"/>
          <w:highlight w:val="none"/>
          <w:lang w:eastAsia="zh-CN"/>
        </w:rPr>
        <w:t>：</w:t>
      </w:r>
      <w:r>
        <w:rPr>
          <w:rFonts w:hint="eastAsia" w:ascii="仿宋_GB2312" w:eastAsia="仿宋_GB2312"/>
          <w:sz w:val="32"/>
          <w:szCs w:val="32"/>
        </w:rPr>
        <w:t>本年收入年初预算数</w:t>
      </w:r>
      <w:r>
        <w:rPr>
          <w:rFonts w:hint="eastAsia" w:ascii="仿宋_GB2312" w:eastAsia="仿宋_GB2312" w:cs="仿宋_GB2312"/>
          <w:kern w:val="0"/>
          <w:sz w:val="32"/>
          <w:szCs w:val="32"/>
        </w:rPr>
        <w:t>1862.76</w:t>
      </w:r>
      <w:r>
        <w:rPr>
          <w:rFonts w:hint="eastAsia" w:ascii="仿宋_GB2312" w:eastAsia="仿宋_GB2312"/>
          <w:sz w:val="32"/>
          <w:szCs w:val="32"/>
        </w:rPr>
        <w:t>万元，决算数2357.36万元，预决算差异率26.55%，差异主要原因本年度人员增加，工资调整。</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本年支出合计2357.36万元，其中：基本支出2357.36万元，占100%；项目支出0万元，占0%；上缴上级支出0万元，占0%；经营支出0万元，占0%；对附属单位补助支出0万元，占0%。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与年初预算数相比情况：本年支出年初预算数1862.76万元，决算数2357.36万元，预决算差异率26.55%，差异主要原因本年度人员增加，工资调整。</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二、部门财政拨款收支情况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财政拨款收入2357.36万元，与上年相比，增加195.57万元，增长9.05%。增减变化的主要原因是：本年度人员增加，工资调整；财政拨款支出2357.36万元，与上年相比，增加195.57万元，增长9.05%。增减变化的主要原因是：本年度工资调整，支出增加。其中：基本支出2357.36万元，项目支出0万元。财政拨款结转结余0万元，与上年相比，增加0万元，增长0%。增减变化的主要原因是：我单位本年度无财政拨款结转结余。</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1862.76万元，决算数2357.36万元，预决算差异率26.55%，差异主要原因本年度人员增加，工资调整。财政拨款支出年初预算数1862.76万元，决算数2357.36万元，预决算差异率26.55%，差异主要原因本年度人员增加，工资调整，支出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（二）一般公共预算收支出决算情况说明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一般公共预算财政拨款收入2357.36万元。与上年相比，增加195.57万元，增长9.05%。增减变化的主要原因是本年度工资调整，收入增加。一般公共预算财政拨款支出2357.36万元。与上年相比，增加195.57万元，增长9.05%。增减变化的主要原因是本年度工资调整，支出增加。其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按功能分类科目</w:t>
      </w:r>
      <w:bookmarkStart w:id="0" w:name="_Hlk20323725"/>
      <w:r>
        <w:rPr>
          <w:rFonts w:hint="eastAsia" w:ascii="仿宋_GB2312" w:eastAsia="仿宋_GB2312"/>
          <w:sz w:val="32"/>
          <w:szCs w:val="32"/>
        </w:rPr>
        <w:t>（按类级科目公开）</w:t>
      </w:r>
      <w:bookmarkEnd w:id="0"/>
      <w:r>
        <w:rPr>
          <w:rFonts w:hint="eastAsia" w:ascii="仿宋_GB2312" w:eastAsia="仿宋_GB2312"/>
          <w:sz w:val="32"/>
          <w:szCs w:val="32"/>
        </w:rPr>
        <w:t>，205（类）教育支出2133.73万元，208（类）社会保障和就业支出223.6万元。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按经济分类科目，301（类）工资福利支出1881.53万元，302（类）商品和服务支出219.96万元，303（类）对个人和家庭的补助187.24万元，310（类）资本性支出68.63万元。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 一般公共预算财政拨款收入年初预算数1862.76万元，决算数2357.36万元，预决算差异率26.55%，差异主要原因本年度工资调整，收入增加。一般公共预算财政拨款支出年初预算数为1862.76万元，决算数2357.36万元，预决算差异率26.55%，增减变化的主要原因是：本年度工资调整，支出增加。</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2018年度政府性基金预算财政拨款收入0万元，与上年相比，增加0万元，增长0%。增减变化的主要原因是：我单位本年度无政府性基金预算财政拨款收入。政府性基金预算支出0万元。与上年相比，增加0万元，增长0%。增减变化的主要原因是：我单位本年度无政府性基金预算财政拨款支出。其中：按功能分类科目（按类级科目公开），支出0万元，支出0万元。按经济分类科目（按类级科目公开），支出0万元，支出0万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与年初预算数相比情况：政府性基金预算财政拨款收入年初预算数0万元，决算数0万元，预决算差异率0%，差异主要原因我单位本年度无政府性基金预算财政拨款收入。政府性基金预算财政拨款支出年初预算数0万元，决算数0万元，预决算差异率0%，差异主要原因我单位本年度无政府性基金预算财政拨款支出。</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三、部门结转结余情况</w:t>
      </w:r>
    </w:p>
    <w:p>
      <w:pPr>
        <w:spacing w:line="600" w:lineRule="exact"/>
        <w:ind w:firstLine="640" w:firstLineChars="200"/>
        <w:rPr>
          <w:rFonts w:ascii="仿宋_GB2312" w:eastAsia="仿宋_GB2312"/>
          <w:sz w:val="32"/>
          <w:szCs w:val="32"/>
        </w:rPr>
      </w:pPr>
      <w:bookmarkStart w:id="1" w:name="_Hlk20322574"/>
      <w:r>
        <w:rPr>
          <w:rFonts w:hint="eastAsia" w:ascii="仿宋_GB2312" w:eastAsia="仿宋_GB2312"/>
          <w:sz w:val="32"/>
          <w:szCs w:val="32"/>
        </w:rPr>
        <w:t>年末结转结余0万元。与上年相比，增加0万元，增长0%。</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其中财政拨款结转结余0万元。与上年相比，增加0万元，增长0%。</w:t>
      </w:r>
    </w:p>
    <w:bookmarkEnd w:id="1"/>
    <w:p>
      <w:pPr>
        <w:pStyle w:val="6"/>
        <w:spacing w:before="0" w:after="0" w:line="600" w:lineRule="exact"/>
        <w:ind w:firstLine="640" w:firstLineChars="200"/>
        <w:jc w:val="left"/>
        <w:rPr>
          <w:rFonts w:ascii="黑体" w:hAnsi="黑体" w:eastAsia="黑体" w:cs="黑体"/>
          <w:b w:val="0"/>
        </w:rPr>
      </w:pPr>
      <w:r>
        <w:rPr>
          <w:rFonts w:hint="eastAsia" w:ascii="黑体" w:hAnsi="黑体" w:eastAsia="黑体" w:cs="黑体"/>
          <w:b w:val="0"/>
        </w:rPr>
        <w:t>四、一般公共预算“三公”经费支出情况</w:t>
      </w:r>
    </w:p>
    <w:p>
      <w:pPr>
        <w:spacing w:line="600" w:lineRule="exact"/>
        <w:ind w:firstLine="640" w:firstLineChars="200"/>
        <w:rPr>
          <w:rFonts w:ascii="仿宋_GB2312" w:eastAsia="仿宋_GB2312"/>
          <w:sz w:val="32"/>
          <w:szCs w:val="32"/>
        </w:rPr>
      </w:pPr>
      <w:bookmarkStart w:id="2" w:name="_Hlk20324524"/>
      <w:bookmarkStart w:id="3" w:name="_Hlk20322614"/>
      <w:r>
        <w:rPr>
          <w:rFonts w:hint="eastAsia" w:ascii="仿宋_GB2312" w:eastAsia="仿宋_GB2312"/>
          <w:sz w:val="32"/>
          <w:szCs w:val="32"/>
        </w:rPr>
        <w:t>2018年度一般公共预算“三公”经费支出决算0万元，比上年减少0万元，降低0%，减少原因是我单位本年度无“三公”经费支出。其中，因公出国（境）费支出0万元，占0%，比上年减少0万元，降低0%，减少原因是我单位本年度无因公出国（境）费支出；公务用车购置及运行维护费支出0万元，占0%，比上年减少0万元，降低0%，减少原因是我单位本年度无公务用车购置及运行维护费支出；公务接待费支出0万元，占0%，比上年减少0万元，降低0%，减少原因是我单位本年度无公务接待费支出。具体情况如下：</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因公出国（境）费支出0万元。</w:t>
      </w:r>
      <w:r>
        <w:rPr>
          <w:rFonts w:hint="eastAsia" w:ascii="仿宋_GB2312" w:eastAsia="仿宋_GB2312"/>
          <w:sz w:val="32"/>
          <w:szCs w:val="32"/>
          <w:lang w:eastAsia="zh-CN"/>
        </w:rPr>
        <w:t>新疆巴音郭楞蒙古自治州和静县第六小学</w:t>
      </w:r>
      <w:r>
        <w:rPr>
          <w:rFonts w:hint="eastAsia" w:ascii="仿宋_GB2312" w:eastAsia="仿宋_GB2312"/>
          <w:sz w:val="32"/>
          <w:szCs w:val="32"/>
        </w:rPr>
        <w:t>全年使用一般公共预算财政拨款安排的出国（境）团组0个，累计0人次。开支内容包括：无因公出国（境）费支出安排。</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公务用车购置及运行维护费0万元</w:t>
      </w:r>
      <w:bookmarkStart w:id="5" w:name="_GoBack"/>
      <w:bookmarkEnd w:id="5"/>
      <w:r>
        <w:rPr>
          <w:rFonts w:hint="eastAsia" w:ascii="仿宋_GB2312" w:eastAsia="仿宋_GB2312"/>
          <w:sz w:val="32"/>
          <w:szCs w:val="32"/>
          <w:highlight w:val="none"/>
          <w:lang w:eastAsia="zh-CN"/>
        </w:rPr>
        <w:t>，</w:t>
      </w:r>
      <w:r>
        <w:rPr>
          <w:rFonts w:hint="eastAsia" w:ascii="仿宋_GB2312" w:eastAsia="仿宋_GB2312"/>
          <w:sz w:val="32"/>
          <w:szCs w:val="32"/>
        </w:rPr>
        <w:t>其中，公务用车购置0万元，公务用车运行维护费0万元。</w:t>
      </w:r>
      <w:r>
        <w:rPr>
          <w:rFonts w:hint="eastAsia" w:ascii="仿宋_GB2312" w:eastAsia="仿宋_GB2312"/>
          <w:color w:val="000000"/>
          <w:sz w:val="32"/>
          <w:szCs w:val="32"/>
        </w:rPr>
        <w:t>主要用于我单位车辆维修费、燃油费、保险费等。2018年，</w:t>
      </w:r>
      <w:r>
        <w:rPr>
          <w:rFonts w:hint="eastAsia" w:ascii="仿宋_GB2312" w:eastAsia="仿宋_GB2312"/>
          <w:sz w:val="32"/>
          <w:szCs w:val="32"/>
        </w:rPr>
        <w:t>单位一般公共财政拨款安排的公务用车购置量0辆，保有量为0辆。</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公务接待费0万元。具体是：国内公务接待支出0万元，主要是无公务接待费等。</w:t>
      </w:r>
      <w:r>
        <w:rPr>
          <w:rFonts w:hint="eastAsia" w:ascii="仿宋_GB2312" w:eastAsia="仿宋_GB2312"/>
          <w:sz w:val="32"/>
          <w:szCs w:val="32"/>
          <w:lang w:eastAsia="zh-CN"/>
        </w:rPr>
        <w:t>新疆巴音郭楞蒙古自治州和静县第六小学</w:t>
      </w:r>
      <w:r>
        <w:rPr>
          <w:rFonts w:hint="eastAsia" w:ascii="仿宋_GB2312" w:eastAsia="仿宋_GB2312"/>
          <w:sz w:val="32"/>
          <w:szCs w:val="32"/>
        </w:rPr>
        <w:t>国内公务接待0批次，0人次。</w:t>
      </w:r>
    </w:p>
    <w:p>
      <w:pPr>
        <w:spacing w:line="60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与年初预算数相比情况：一般公共预算“三公”经费支出年初预算数0万元，决算数0万元，预决算差异率0%，差异主要原因是我单位本年度无一般公共预算“三公”经费支出。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因公出国（境）费</w:t>
      </w:r>
      <w:r>
        <w:rPr>
          <w:rFonts w:hint="eastAsia" w:ascii="仿宋_GB2312" w:eastAsia="仿宋_GB2312"/>
          <w:sz w:val="32"/>
          <w:szCs w:val="32"/>
        </w:rPr>
        <w:t>；</w:t>
      </w:r>
      <w:r>
        <w:rPr>
          <w:rFonts w:hint="eastAsia" w:ascii="仿宋_GB2312" w:hAnsi="宋体" w:eastAsia="仿宋_GB2312" w:cs="宋体"/>
          <w:kern w:val="0"/>
          <w:sz w:val="32"/>
          <w:szCs w:val="32"/>
        </w:rPr>
        <w:t>公务用车购置</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公务用车购置</w:t>
      </w:r>
      <w:r>
        <w:rPr>
          <w:rFonts w:hint="eastAsia" w:ascii="仿宋_GB2312" w:eastAsia="仿宋_GB2312"/>
          <w:sz w:val="32"/>
          <w:szCs w:val="32"/>
        </w:rPr>
        <w:t>；</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预算数0万元，决算数0万元，预决算差异率0%，差异主要原因是我单位本年度无</w:t>
      </w:r>
      <w:r>
        <w:rPr>
          <w:rFonts w:hint="eastAsia" w:ascii="仿宋_GB2312" w:hAnsi="宋体" w:eastAsia="仿宋_GB2312" w:cs="宋体"/>
          <w:kern w:val="0"/>
          <w:sz w:val="32"/>
          <w:szCs w:val="32"/>
        </w:rPr>
        <w:t>公务用车运行费</w:t>
      </w:r>
      <w:r>
        <w:rPr>
          <w:rFonts w:hint="eastAsia" w:ascii="仿宋_GB2312" w:eastAsia="仿宋_GB2312"/>
          <w:sz w:val="32"/>
          <w:szCs w:val="32"/>
        </w:rPr>
        <w:t>；</w:t>
      </w:r>
      <w:r>
        <w:rPr>
          <w:rFonts w:hint="eastAsia" w:ascii="仿宋_GB2312" w:hAnsi="宋体" w:eastAsia="仿宋_GB2312" w:cs="宋体"/>
          <w:kern w:val="0"/>
          <w:sz w:val="32"/>
          <w:szCs w:val="32"/>
        </w:rPr>
        <w:t>公务接待费</w:t>
      </w:r>
      <w:r>
        <w:rPr>
          <w:rFonts w:hint="eastAsia" w:ascii="仿宋_GB2312" w:eastAsia="仿宋_GB2312"/>
          <w:sz w:val="32"/>
          <w:szCs w:val="32"/>
        </w:rPr>
        <w:t>预算数0万元，决算数0万元，预决算差异率0%，差异主要原因我单位本年度无</w:t>
      </w:r>
      <w:r>
        <w:rPr>
          <w:rFonts w:hint="eastAsia" w:ascii="仿宋_GB2312" w:hAnsi="宋体" w:eastAsia="仿宋_GB2312" w:cs="宋体"/>
          <w:kern w:val="0"/>
          <w:sz w:val="32"/>
          <w:szCs w:val="32"/>
        </w:rPr>
        <w:t>公务接待费</w:t>
      </w:r>
      <w:r>
        <w:rPr>
          <w:rFonts w:hint="eastAsia" w:ascii="仿宋_GB2312" w:eastAsia="仿宋_GB2312"/>
          <w:sz w:val="32"/>
          <w:szCs w:val="32"/>
        </w:rPr>
        <w:t>。</w:t>
      </w:r>
      <w:bookmarkEnd w:id="2"/>
    </w:p>
    <w:bookmarkEnd w:id="3"/>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五、机关运行经费支出情况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018</w:t>
      </w:r>
      <w:r>
        <w:rPr>
          <w:rFonts w:hint="eastAsia" w:ascii="仿宋_GB2312" w:eastAsia="仿宋_GB2312"/>
          <w:sz w:val="32"/>
          <w:szCs w:val="32"/>
        </w:rPr>
        <w:t>年</w:t>
      </w:r>
      <w:r>
        <w:rPr>
          <w:rFonts w:hint="eastAsia" w:ascii="仿宋_GB2312" w:eastAsia="仿宋_GB2312"/>
          <w:sz w:val="32"/>
          <w:szCs w:val="32"/>
          <w:lang w:eastAsia="zh-CN"/>
        </w:rPr>
        <w:t>新疆巴音郭楞蒙古自治州和静县第六小学</w:t>
      </w:r>
      <w:r>
        <w:rPr>
          <w:rFonts w:hint="eastAsia" w:ascii="仿宋_GB2312" w:eastAsia="仿宋_GB2312"/>
          <w:sz w:val="32"/>
          <w:szCs w:val="32"/>
        </w:rPr>
        <w:t>（事业单位）日常公用经费288.59万元，比上年减少89.98万元，降低31.18%，主要原因本年度厉行节约，压缩办公开支。</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六、政府采购情况</w:t>
      </w:r>
    </w:p>
    <w:p>
      <w:pPr>
        <w:spacing w:line="600" w:lineRule="exact"/>
        <w:ind w:firstLine="640" w:firstLineChars="200"/>
        <w:rPr>
          <w:rFonts w:ascii="仿宋_GB2312" w:hAnsi="Calibri" w:eastAsia="仿宋_GB2312"/>
          <w:sz w:val="32"/>
          <w:szCs w:val="32"/>
          <w:lang w:val="en-GB"/>
        </w:rPr>
      </w:pPr>
      <w:r>
        <w:rPr>
          <w:rFonts w:hint="eastAsia" w:ascii="仿宋_GB2312" w:eastAsia="仿宋_GB2312"/>
          <w:sz w:val="32"/>
          <w:szCs w:val="32"/>
        </w:rPr>
        <w:t>2</w:t>
      </w:r>
      <w:r>
        <w:rPr>
          <w:rFonts w:ascii="仿宋_GB2312" w:eastAsia="仿宋_GB2312"/>
          <w:sz w:val="32"/>
          <w:szCs w:val="32"/>
        </w:rPr>
        <w:t>018</w:t>
      </w:r>
      <w:r>
        <w:rPr>
          <w:rFonts w:hint="eastAsia" w:ascii="仿宋_GB2312" w:eastAsia="仿宋_GB2312"/>
          <w:sz w:val="32"/>
          <w:szCs w:val="32"/>
        </w:rPr>
        <w:t>年单位政府采购计划83.01万元，其中：政府采购货物支出24.41万元、政府采购工程支出6.23万元、政府采购服务支出52.37万元</w:t>
      </w:r>
      <w:r>
        <w:rPr>
          <w:rFonts w:hint="eastAsia" w:ascii="仿宋_GB2312" w:hAnsi="Calibri" w:eastAsia="仿宋_GB2312"/>
          <w:sz w:val="32"/>
          <w:szCs w:val="32"/>
          <w:lang w:val="en-GB"/>
        </w:rPr>
        <w:t>。</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七、其他重要事项的情况</w:t>
      </w:r>
    </w:p>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（一）国有资产占用情况说明</w:t>
      </w:r>
    </w:p>
    <w:p>
      <w:pPr>
        <w:spacing w:line="600" w:lineRule="exact"/>
        <w:ind w:firstLine="640" w:firstLineChars="200"/>
        <w:rPr>
          <w:rFonts w:ascii="仿宋_GB2312" w:eastAsia="仿宋_GB2312"/>
          <w:sz w:val="32"/>
          <w:szCs w:val="32"/>
        </w:rPr>
      </w:pPr>
      <w:bookmarkStart w:id="4" w:name="_Hlk20322812"/>
      <w:r>
        <w:rPr>
          <w:rFonts w:hint="eastAsia" w:ascii="仿宋_GB2312" w:eastAsia="仿宋_GB2312"/>
          <w:sz w:val="32"/>
          <w:szCs w:val="32"/>
        </w:rPr>
        <w:t>截至2018年12月31日，单位共有车辆0辆，价值0万元，其中：副部（省）级及以上领导用车0辆、主要领导干部用车0辆、机要通信用车0辆、应急保障用车0辆、执法执勤用车0辆、特种专业技术用车0辆、离退休干部用车0辆、其他用车0辆，其他用车主要是：我单位本年度无其他用车；单位价值50万元以上通用设备0台（套）、单位价值100万元以上专用设备0台（套）。</w:t>
      </w:r>
    </w:p>
    <w:bookmarkEnd w:id="4"/>
    <w:p>
      <w:pPr>
        <w:spacing w:line="60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val="en-US" w:eastAsia="zh-CN"/>
        </w:rPr>
        <w:t>根据</w:t>
      </w:r>
      <w:r>
        <w:rPr>
          <w:rFonts w:hint="eastAsia" w:ascii="仿宋_GB2312" w:eastAsia="仿宋_GB2312"/>
          <w:sz w:val="32"/>
          <w:szCs w:val="32"/>
        </w:rPr>
        <w:t>预算绩效管理</w:t>
      </w:r>
      <w:r>
        <w:rPr>
          <w:rFonts w:hint="eastAsia" w:ascii="仿宋_GB2312" w:eastAsia="仿宋_GB2312"/>
          <w:sz w:val="32"/>
          <w:szCs w:val="32"/>
          <w:lang w:val="en-US" w:eastAsia="zh-CN"/>
        </w:rPr>
        <w:t>要求，我单位2018年度开展</w:t>
      </w:r>
      <w:r>
        <w:rPr>
          <w:rFonts w:hint="eastAsia" w:ascii="仿宋_GB2312" w:eastAsia="仿宋_GB2312"/>
          <w:sz w:val="32"/>
          <w:szCs w:val="32"/>
        </w:rPr>
        <w:t>预算绩效</w:t>
      </w:r>
      <w:r>
        <w:rPr>
          <w:rFonts w:hint="eastAsia" w:ascii="仿宋_GB2312" w:eastAsia="仿宋_GB2312"/>
          <w:sz w:val="32"/>
          <w:szCs w:val="32"/>
          <w:lang w:val="en-US" w:eastAsia="zh-CN"/>
        </w:rPr>
        <w:t>评价</w:t>
      </w:r>
      <w:r>
        <w:rPr>
          <w:rFonts w:hint="eastAsia" w:ascii="仿宋_GB2312" w:eastAsia="仿宋_GB2312"/>
          <w:sz w:val="32"/>
          <w:szCs w:val="32"/>
        </w:rPr>
        <w:t>项目</w:t>
      </w:r>
      <w:r>
        <w:rPr>
          <w:rFonts w:hint="eastAsia" w:ascii="仿宋_GB2312" w:eastAsia="仿宋_GB2312"/>
          <w:sz w:val="32"/>
          <w:szCs w:val="32"/>
          <w:lang w:val="en-US" w:eastAsia="zh-CN"/>
        </w:rPr>
        <w:t>0个，共涉及资金0万元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附属单位缴款：指事业单位附属的独立核算单位按有关规定上缴的收入。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其他收入：指除上述“财政拨款收入”、“事业收入”、“经营收入”、“附属单位缴款”等之外取得的收入。</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adjustRightInd w:val="0"/>
        <w:spacing w:line="60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本单位支出功能分类说明</w:t>
      </w:r>
      <w:r>
        <w:rPr>
          <w:rFonts w:hint="eastAsia" w:ascii="仿宋_GB2312" w:hAnsi="Calibri" w:eastAsia="仿宋_GB2312"/>
          <w:sz w:val="32"/>
          <w:szCs w:val="32"/>
          <w:lang w:val="en-GB"/>
        </w:rPr>
        <w:t>。</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（项）：指学前教育。</w:t>
      </w:r>
      <w:r>
        <w:rPr>
          <w:rFonts w:ascii="仿宋_GB2312" w:eastAsia="仿宋_GB2312"/>
          <w:sz w:val="32"/>
          <w:szCs w:val="32"/>
        </w:rPr>
        <w:t>205</w:t>
      </w:r>
      <w:r>
        <w:rPr>
          <w:rFonts w:hint="eastAsia" w:ascii="仿宋_GB2312" w:eastAsia="仿宋_GB2312"/>
          <w:sz w:val="32"/>
          <w:szCs w:val="32"/>
        </w:rPr>
        <w:t>（类）</w:t>
      </w:r>
      <w:r>
        <w:rPr>
          <w:rFonts w:ascii="仿宋_GB2312" w:eastAsia="仿宋_GB2312"/>
          <w:sz w:val="32"/>
          <w:szCs w:val="32"/>
        </w:rPr>
        <w:t>02</w:t>
      </w:r>
      <w:r>
        <w:rPr>
          <w:rFonts w:hint="eastAsia" w:ascii="仿宋_GB2312" w:eastAsia="仿宋_GB2312"/>
          <w:sz w:val="32"/>
          <w:szCs w:val="32"/>
        </w:rPr>
        <w:t>（款）</w:t>
      </w:r>
      <w:r>
        <w:rPr>
          <w:rFonts w:ascii="仿宋_GB2312" w:eastAsia="仿宋_GB2312"/>
          <w:sz w:val="32"/>
          <w:szCs w:val="32"/>
        </w:rPr>
        <w:t>02</w:t>
      </w:r>
      <w:r>
        <w:rPr>
          <w:rFonts w:hint="eastAsia" w:ascii="仿宋_GB2312" w:eastAsia="仿宋_GB2312"/>
          <w:sz w:val="32"/>
          <w:szCs w:val="32"/>
        </w:rPr>
        <w:t>（项）：指小学教育。</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05</w:t>
      </w:r>
      <w:r>
        <w:rPr>
          <w:rFonts w:hint="eastAsia" w:ascii="仿宋_GB2312" w:eastAsia="仿宋_GB2312"/>
          <w:sz w:val="32"/>
          <w:szCs w:val="32"/>
        </w:rPr>
        <w:t>（款）</w:t>
      </w:r>
      <w:r>
        <w:rPr>
          <w:rFonts w:ascii="仿宋_GB2312" w:eastAsia="仿宋_GB2312"/>
          <w:sz w:val="32"/>
          <w:szCs w:val="32"/>
        </w:rPr>
        <w:t>05</w:t>
      </w:r>
      <w:r>
        <w:rPr>
          <w:rFonts w:hint="eastAsia" w:ascii="仿宋_GB2312" w:eastAsia="仿宋_GB2312"/>
          <w:sz w:val="32"/>
          <w:szCs w:val="32"/>
        </w:rPr>
        <w:t>（项）：指机关事业单位基本养老保险缴费支出。</w:t>
      </w:r>
      <w:r>
        <w:rPr>
          <w:rFonts w:ascii="仿宋_GB2312" w:eastAsia="仿宋_GB2312"/>
          <w:sz w:val="32"/>
          <w:szCs w:val="32"/>
        </w:rPr>
        <w:t>208</w:t>
      </w:r>
      <w:r>
        <w:rPr>
          <w:rFonts w:hint="eastAsia" w:ascii="仿宋_GB2312" w:eastAsia="仿宋_GB2312"/>
          <w:sz w:val="32"/>
          <w:szCs w:val="32"/>
        </w:rPr>
        <w:t>（类）</w:t>
      </w:r>
      <w:r>
        <w:rPr>
          <w:rFonts w:ascii="仿宋_GB2312" w:eastAsia="仿宋_GB2312"/>
          <w:sz w:val="32"/>
          <w:szCs w:val="32"/>
        </w:rPr>
        <w:t>08</w:t>
      </w:r>
      <w:r>
        <w:rPr>
          <w:rFonts w:hint="eastAsia" w:ascii="仿宋_GB2312" w:eastAsia="仿宋_GB2312"/>
          <w:sz w:val="32"/>
          <w:szCs w:val="32"/>
        </w:rPr>
        <w:t>（款）</w:t>
      </w:r>
      <w:r>
        <w:rPr>
          <w:rFonts w:ascii="仿宋_GB2312" w:eastAsia="仿宋_GB2312"/>
          <w:sz w:val="32"/>
          <w:szCs w:val="32"/>
        </w:rPr>
        <w:t>01</w:t>
      </w:r>
      <w:r>
        <w:rPr>
          <w:rFonts w:hint="eastAsia" w:ascii="仿宋_GB2312" w:eastAsia="仿宋_GB2312"/>
          <w:sz w:val="32"/>
          <w:szCs w:val="32"/>
        </w:rPr>
        <w:t>（项）：死亡抚恤。</w:t>
      </w:r>
    </w:p>
    <w:p>
      <w:pPr>
        <w:spacing w:line="600" w:lineRule="exact"/>
        <w:ind w:firstLine="640" w:firstLineChars="200"/>
        <w:rPr>
          <w:rFonts w:ascii="仿宋_GB2312" w:eastAsia="仿宋_GB2312"/>
          <w:sz w:val="32"/>
          <w:szCs w:val="32"/>
        </w:rPr>
      </w:pPr>
    </w:p>
    <w:p>
      <w:pPr>
        <w:spacing w:line="600" w:lineRule="exact"/>
        <w:ind w:firstLine="640" w:firstLineChars="200"/>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60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600" w:lineRule="exact"/>
        <w:ind w:firstLine="420" w:firstLineChars="200"/>
      </w:pPr>
    </w:p>
    <w:p>
      <w:pPr>
        <w:spacing w:line="600" w:lineRule="exact"/>
        <w:jc w:val="both"/>
        <w:rPr>
          <w:rFonts w:ascii="仿宋_GB2312" w:eastAsia="仿宋_GB2312"/>
          <w:sz w:val="32"/>
          <w:szCs w:val="32"/>
        </w:rPr>
      </w:pPr>
    </w:p>
    <w:sectPr>
      <w:headerReference r:id="rId3" w:type="default"/>
      <w:footerReference r:id="rId4" w:type="default"/>
      <w:footerReference r:id="rId5" w:type="even"/>
      <w:pgSz w:w="11906" w:h="16838"/>
      <w:pgMar w:top="2098" w:right="1418" w:bottom="1928" w:left="1588" w:header="851" w:footer="992" w:gutter="0"/>
      <w:pgNumType w:fmt="numberInDash" w:start="1"/>
      <w:cols w:space="425" w:num="1"/>
      <w:docGrid w:type="lines" w:linePitch="435"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22 -</w:t>
    </w:r>
    <w:r>
      <w:rPr>
        <w:rFonts w:ascii="宋体" w:hAnsi="宋体"/>
        <w:sz w:val="28"/>
        <w:szCs w:val="28"/>
      </w:rP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3"/>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82AD0"/>
    <w:rsid w:val="000256C5"/>
    <w:rsid w:val="00033A76"/>
    <w:rsid w:val="00035169"/>
    <w:rsid w:val="00040A79"/>
    <w:rsid w:val="000650B9"/>
    <w:rsid w:val="0008460B"/>
    <w:rsid w:val="000D2483"/>
    <w:rsid w:val="000E35F9"/>
    <w:rsid w:val="000E7A06"/>
    <w:rsid w:val="00124121"/>
    <w:rsid w:val="00134639"/>
    <w:rsid w:val="001448D7"/>
    <w:rsid w:val="00153B34"/>
    <w:rsid w:val="001A0A1C"/>
    <w:rsid w:val="001B2F27"/>
    <w:rsid w:val="001B748B"/>
    <w:rsid w:val="001E3C77"/>
    <w:rsid w:val="001F1EDD"/>
    <w:rsid w:val="002005A8"/>
    <w:rsid w:val="00217EAB"/>
    <w:rsid w:val="002258C4"/>
    <w:rsid w:val="00264870"/>
    <w:rsid w:val="002E26EC"/>
    <w:rsid w:val="00324495"/>
    <w:rsid w:val="003278BD"/>
    <w:rsid w:val="00344876"/>
    <w:rsid w:val="00353028"/>
    <w:rsid w:val="00360330"/>
    <w:rsid w:val="0036113F"/>
    <w:rsid w:val="00376045"/>
    <w:rsid w:val="00390F4F"/>
    <w:rsid w:val="00402858"/>
    <w:rsid w:val="004030A9"/>
    <w:rsid w:val="0041436C"/>
    <w:rsid w:val="004244D0"/>
    <w:rsid w:val="00451805"/>
    <w:rsid w:val="00464EC2"/>
    <w:rsid w:val="004905E0"/>
    <w:rsid w:val="004C0903"/>
    <w:rsid w:val="00550184"/>
    <w:rsid w:val="00594412"/>
    <w:rsid w:val="005C200D"/>
    <w:rsid w:val="005F7A10"/>
    <w:rsid w:val="00605744"/>
    <w:rsid w:val="00607B9F"/>
    <w:rsid w:val="006631CC"/>
    <w:rsid w:val="006C3665"/>
    <w:rsid w:val="006D2674"/>
    <w:rsid w:val="006E08C5"/>
    <w:rsid w:val="006F1280"/>
    <w:rsid w:val="0077265F"/>
    <w:rsid w:val="007751C0"/>
    <w:rsid w:val="00782AD0"/>
    <w:rsid w:val="007B7864"/>
    <w:rsid w:val="0080414B"/>
    <w:rsid w:val="008538B9"/>
    <w:rsid w:val="00874D6C"/>
    <w:rsid w:val="008C51BC"/>
    <w:rsid w:val="008D2202"/>
    <w:rsid w:val="008F0B29"/>
    <w:rsid w:val="008F57EA"/>
    <w:rsid w:val="008F61B6"/>
    <w:rsid w:val="00953EFD"/>
    <w:rsid w:val="00966869"/>
    <w:rsid w:val="00982203"/>
    <w:rsid w:val="009C673D"/>
    <w:rsid w:val="009D29C8"/>
    <w:rsid w:val="009F3AE0"/>
    <w:rsid w:val="00A02AAA"/>
    <w:rsid w:val="00A4242D"/>
    <w:rsid w:val="00AA3077"/>
    <w:rsid w:val="00B22B93"/>
    <w:rsid w:val="00B37727"/>
    <w:rsid w:val="00B41968"/>
    <w:rsid w:val="00B97C64"/>
    <w:rsid w:val="00BA0463"/>
    <w:rsid w:val="00BE4CB9"/>
    <w:rsid w:val="00C007DB"/>
    <w:rsid w:val="00C15842"/>
    <w:rsid w:val="00C5084D"/>
    <w:rsid w:val="00C63086"/>
    <w:rsid w:val="00C83351"/>
    <w:rsid w:val="00CB7D8D"/>
    <w:rsid w:val="00D11D70"/>
    <w:rsid w:val="00D417DC"/>
    <w:rsid w:val="00D463EE"/>
    <w:rsid w:val="00DA04F3"/>
    <w:rsid w:val="00DA0B30"/>
    <w:rsid w:val="00DE1F4E"/>
    <w:rsid w:val="00E03096"/>
    <w:rsid w:val="00E032CA"/>
    <w:rsid w:val="00E72405"/>
    <w:rsid w:val="00E769C4"/>
    <w:rsid w:val="00F01AE0"/>
    <w:rsid w:val="00F0595A"/>
    <w:rsid w:val="00F45B15"/>
    <w:rsid w:val="00F460BF"/>
    <w:rsid w:val="00F76150"/>
    <w:rsid w:val="00FB5497"/>
    <w:rsid w:val="00FD4694"/>
    <w:rsid w:val="00FF369D"/>
    <w:rsid w:val="01652D8B"/>
    <w:rsid w:val="02BA5037"/>
    <w:rsid w:val="02CD0A63"/>
    <w:rsid w:val="02D1595E"/>
    <w:rsid w:val="0309003F"/>
    <w:rsid w:val="03394BBF"/>
    <w:rsid w:val="034F4896"/>
    <w:rsid w:val="036A5082"/>
    <w:rsid w:val="03D047A0"/>
    <w:rsid w:val="03F1671E"/>
    <w:rsid w:val="03FF663A"/>
    <w:rsid w:val="04225936"/>
    <w:rsid w:val="044516EC"/>
    <w:rsid w:val="04607F06"/>
    <w:rsid w:val="04836F17"/>
    <w:rsid w:val="04A7117A"/>
    <w:rsid w:val="05131068"/>
    <w:rsid w:val="054B7292"/>
    <w:rsid w:val="05E12A26"/>
    <w:rsid w:val="06517A96"/>
    <w:rsid w:val="065536ED"/>
    <w:rsid w:val="06FA6779"/>
    <w:rsid w:val="074039F3"/>
    <w:rsid w:val="07D531A9"/>
    <w:rsid w:val="081B49DB"/>
    <w:rsid w:val="082A69D9"/>
    <w:rsid w:val="087C5462"/>
    <w:rsid w:val="08914EC4"/>
    <w:rsid w:val="089D018F"/>
    <w:rsid w:val="08D539E9"/>
    <w:rsid w:val="099F355F"/>
    <w:rsid w:val="09AA3220"/>
    <w:rsid w:val="09B2685E"/>
    <w:rsid w:val="0A720ACF"/>
    <w:rsid w:val="0BC564FB"/>
    <w:rsid w:val="0C314838"/>
    <w:rsid w:val="0C5074C6"/>
    <w:rsid w:val="0C5767C7"/>
    <w:rsid w:val="0C7D302B"/>
    <w:rsid w:val="0CB94C07"/>
    <w:rsid w:val="0CC92F36"/>
    <w:rsid w:val="0CDB19E4"/>
    <w:rsid w:val="0D153A79"/>
    <w:rsid w:val="0D1D290A"/>
    <w:rsid w:val="0DB10D6F"/>
    <w:rsid w:val="0E724723"/>
    <w:rsid w:val="0EFE2992"/>
    <w:rsid w:val="100D5D61"/>
    <w:rsid w:val="106D02BB"/>
    <w:rsid w:val="107957F0"/>
    <w:rsid w:val="10845655"/>
    <w:rsid w:val="11123330"/>
    <w:rsid w:val="111B2576"/>
    <w:rsid w:val="112A417A"/>
    <w:rsid w:val="126C3A44"/>
    <w:rsid w:val="12E3484A"/>
    <w:rsid w:val="136D0BEA"/>
    <w:rsid w:val="1437722C"/>
    <w:rsid w:val="14695B0D"/>
    <w:rsid w:val="14877DF0"/>
    <w:rsid w:val="14897021"/>
    <w:rsid w:val="148B00E4"/>
    <w:rsid w:val="162F5761"/>
    <w:rsid w:val="16507EF0"/>
    <w:rsid w:val="16606AA9"/>
    <w:rsid w:val="16F21F4A"/>
    <w:rsid w:val="16F31775"/>
    <w:rsid w:val="170948CB"/>
    <w:rsid w:val="1762191D"/>
    <w:rsid w:val="179C40CF"/>
    <w:rsid w:val="17E42A64"/>
    <w:rsid w:val="1827754D"/>
    <w:rsid w:val="185E53DE"/>
    <w:rsid w:val="18832235"/>
    <w:rsid w:val="189D5DB4"/>
    <w:rsid w:val="18B12986"/>
    <w:rsid w:val="19255324"/>
    <w:rsid w:val="192611ED"/>
    <w:rsid w:val="192E51C6"/>
    <w:rsid w:val="19902863"/>
    <w:rsid w:val="19C4427F"/>
    <w:rsid w:val="1A456B40"/>
    <w:rsid w:val="1A6A73D0"/>
    <w:rsid w:val="1AA768AC"/>
    <w:rsid w:val="1B196311"/>
    <w:rsid w:val="1BE85EB1"/>
    <w:rsid w:val="1BEF0D96"/>
    <w:rsid w:val="1C36535A"/>
    <w:rsid w:val="1C64730F"/>
    <w:rsid w:val="1CDA3E02"/>
    <w:rsid w:val="1CF27EA8"/>
    <w:rsid w:val="1D494AB5"/>
    <w:rsid w:val="1DB161B6"/>
    <w:rsid w:val="1DD13693"/>
    <w:rsid w:val="1E724AFF"/>
    <w:rsid w:val="1EA91920"/>
    <w:rsid w:val="1EF77A5D"/>
    <w:rsid w:val="1F684359"/>
    <w:rsid w:val="1FE72272"/>
    <w:rsid w:val="201D6F46"/>
    <w:rsid w:val="20CE5C19"/>
    <w:rsid w:val="21515E0D"/>
    <w:rsid w:val="215D010C"/>
    <w:rsid w:val="22444275"/>
    <w:rsid w:val="22D53651"/>
    <w:rsid w:val="22DF3F45"/>
    <w:rsid w:val="22F343E7"/>
    <w:rsid w:val="230136F4"/>
    <w:rsid w:val="233A4116"/>
    <w:rsid w:val="248459CD"/>
    <w:rsid w:val="248B5466"/>
    <w:rsid w:val="24C40BDF"/>
    <w:rsid w:val="251F6FDF"/>
    <w:rsid w:val="257D1122"/>
    <w:rsid w:val="2584059D"/>
    <w:rsid w:val="259163E7"/>
    <w:rsid w:val="259F33B4"/>
    <w:rsid w:val="26026CAC"/>
    <w:rsid w:val="26DF5E61"/>
    <w:rsid w:val="27063402"/>
    <w:rsid w:val="2787621D"/>
    <w:rsid w:val="2788710C"/>
    <w:rsid w:val="28AC0661"/>
    <w:rsid w:val="28C718A9"/>
    <w:rsid w:val="28D9738B"/>
    <w:rsid w:val="29387F9F"/>
    <w:rsid w:val="29400BE6"/>
    <w:rsid w:val="295B7865"/>
    <w:rsid w:val="297F7DF1"/>
    <w:rsid w:val="299112DB"/>
    <w:rsid w:val="29AA19C3"/>
    <w:rsid w:val="29FA2F3A"/>
    <w:rsid w:val="2A336EF5"/>
    <w:rsid w:val="2A354E80"/>
    <w:rsid w:val="2A590F5D"/>
    <w:rsid w:val="2B342E7F"/>
    <w:rsid w:val="2B594FBD"/>
    <w:rsid w:val="2BAB55AD"/>
    <w:rsid w:val="2C6348E5"/>
    <w:rsid w:val="2C99124E"/>
    <w:rsid w:val="2D2D4CEA"/>
    <w:rsid w:val="2D315074"/>
    <w:rsid w:val="2D8929C5"/>
    <w:rsid w:val="2DB41971"/>
    <w:rsid w:val="2DB95E83"/>
    <w:rsid w:val="2DEB5C60"/>
    <w:rsid w:val="2E645FA6"/>
    <w:rsid w:val="2E6E5826"/>
    <w:rsid w:val="2EDC5196"/>
    <w:rsid w:val="2EF308B6"/>
    <w:rsid w:val="2EF565BD"/>
    <w:rsid w:val="2F362128"/>
    <w:rsid w:val="2FAB58CF"/>
    <w:rsid w:val="31385B02"/>
    <w:rsid w:val="31981969"/>
    <w:rsid w:val="321624B5"/>
    <w:rsid w:val="335A5CD6"/>
    <w:rsid w:val="33AC6AD4"/>
    <w:rsid w:val="33BB2B73"/>
    <w:rsid w:val="34074476"/>
    <w:rsid w:val="34406AE1"/>
    <w:rsid w:val="34925206"/>
    <w:rsid w:val="34EC14D5"/>
    <w:rsid w:val="35B418C8"/>
    <w:rsid w:val="35BD4B56"/>
    <w:rsid w:val="35FE2DD8"/>
    <w:rsid w:val="365736F6"/>
    <w:rsid w:val="3679743F"/>
    <w:rsid w:val="37112303"/>
    <w:rsid w:val="37194108"/>
    <w:rsid w:val="371E5E53"/>
    <w:rsid w:val="37606259"/>
    <w:rsid w:val="38A02136"/>
    <w:rsid w:val="38F43093"/>
    <w:rsid w:val="39086547"/>
    <w:rsid w:val="39CC01D8"/>
    <w:rsid w:val="3A3A47C7"/>
    <w:rsid w:val="3ACC7828"/>
    <w:rsid w:val="3AE62887"/>
    <w:rsid w:val="3B413FEA"/>
    <w:rsid w:val="3BF04A5F"/>
    <w:rsid w:val="3C376B1D"/>
    <w:rsid w:val="3C4019BC"/>
    <w:rsid w:val="3C621F93"/>
    <w:rsid w:val="3C851B78"/>
    <w:rsid w:val="3CF95E12"/>
    <w:rsid w:val="3D005219"/>
    <w:rsid w:val="3DA5026C"/>
    <w:rsid w:val="3DCE4DA4"/>
    <w:rsid w:val="3DF35E23"/>
    <w:rsid w:val="3EA459A8"/>
    <w:rsid w:val="3EE5601B"/>
    <w:rsid w:val="3F550300"/>
    <w:rsid w:val="3F776553"/>
    <w:rsid w:val="3F862A6B"/>
    <w:rsid w:val="40900B07"/>
    <w:rsid w:val="409179D5"/>
    <w:rsid w:val="40E227AA"/>
    <w:rsid w:val="41816B75"/>
    <w:rsid w:val="418B5FCD"/>
    <w:rsid w:val="41E42C0B"/>
    <w:rsid w:val="42061027"/>
    <w:rsid w:val="42CE75E0"/>
    <w:rsid w:val="42CF6D7E"/>
    <w:rsid w:val="42DD53AD"/>
    <w:rsid w:val="42F735F3"/>
    <w:rsid w:val="4353170F"/>
    <w:rsid w:val="43652422"/>
    <w:rsid w:val="43E752D4"/>
    <w:rsid w:val="44290287"/>
    <w:rsid w:val="44DA769D"/>
    <w:rsid w:val="453A2579"/>
    <w:rsid w:val="45400F09"/>
    <w:rsid w:val="459C18B7"/>
    <w:rsid w:val="45D53170"/>
    <w:rsid w:val="463B6CD8"/>
    <w:rsid w:val="469677F1"/>
    <w:rsid w:val="46F33227"/>
    <w:rsid w:val="479207C7"/>
    <w:rsid w:val="47D77C86"/>
    <w:rsid w:val="480B76B7"/>
    <w:rsid w:val="486D20E2"/>
    <w:rsid w:val="48931196"/>
    <w:rsid w:val="493D313D"/>
    <w:rsid w:val="495F3F95"/>
    <w:rsid w:val="497C70CD"/>
    <w:rsid w:val="49815764"/>
    <w:rsid w:val="49BE0B33"/>
    <w:rsid w:val="4A5A3F62"/>
    <w:rsid w:val="4A8575B3"/>
    <w:rsid w:val="4B197965"/>
    <w:rsid w:val="4B4848E0"/>
    <w:rsid w:val="4B8D7C2C"/>
    <w:rsid w:val="4B8F6D78"/>
    <w:rsid w:val="4BAB7D48"/>
    <w:rsid w:val="4BD27B7E"/>
    <w:rsid w:val="4BFF42FF"/>
    <w:rsid w:val="4DB93C79"/>
    <w:rsid w:val="4E855A11"/>
    <w:rsid w:val="4F160353"/>
    <w:rsid w:val="4F3E3B01"/>
    <w:rsid w:val="50933A9E"/>
    <w:rsid w:val="509A5F01"/>
    <w:rsid w:val="5152002B"/>
    <w:rsid w:val="515F538A"/>
    <w:rsid w:val="51AA4C1C"/>
    <w:rsid w:val="51AF69C8"/>
    <w:rsid w:val="52187E40"/>
    <w:rsid w:val="528948DE"/>
    <w:rsid w:val="52DF5AA0"/>
    <w:rsid w:val="52E15925"/>
    <w:rsid w:val="53D41B8D"/>
    <w:rsid w:val="53DA5076"/>
    <w:rsid w:val="53FF7E2C"/>
    <w:rsid w:val="54A91648"/>
    <w:rsid w:val="54B65C53"/>
    <w:rsid w:val="54C86CA5"/>
    <w:rsid w:val="54D26C27"/>
    <w:rsid w:val="556B517F"/>
    <w:rsid w:val="55C24CF1"/>
    <w:rsid w:val="56D46176"/>
    <w:rsid w:val="574B77A8"/>
    <w:rsid w:val="5829283A"/>
    <w:rsid w:val="588021F4"/>
    <w:rsid w:val="58845705"/>
    <w:rsid w:val="58883084"/>
    <w:rsid w:val="592D09EC"/>
    <w:rsid w:val="59777BAE"/>
    <w:rsid w:val="597A2B4A"/>
    <w:rsid w:val="59ED42C6"/>
    <w:rsid w:val="59F71809"/>
    <w:rsid w:val="5A607EA9"/>
    <w:rsid w:val="5AB50941"/>
    <w:rsid w:val="5B50242B"/>
    <w:rsid w:val="5BEC1D8A"/>
    <w:rsid w:val="5CBC1084"/>
    <w:rsid w:val="5D55143E"/>
    <w:rsid w:val="5EA24F5A"/>
    <w:rsid w:val="5EB038E7"/>
    <w:rsid w:val="5F164CAB"/>
    <w:rsid w:val="5F257C1E"/>
    <w:rsid w:val="5FEE3DA4"/>
    <w:rsid w:val="604507A2"/>
    <w:rsid w:val="605B5338"/>
    <w:rsid w:val="6095490B"/>
    <w:rsid w:val="60AA1EB5"/>
    <w:rsid w:val="60B25D38"/>
    <w:rsid w:val="60D65C33"/>
    <w:rsid w:val="6147605A"/>
    <w:rsid w:val="62024BAC"/>
    <w:rsid w:val="62BE5A95"/>
    <w:rsid w:val="63A24B39"/>
    <w:rsid w:val="64820A9D"/>
    <w:rsid w:val="656A6D51"/>
    <w:rsid w:val="657B11DA"/>
    <w:rsid w:val="65B118E1"/>
    <w:rsid w:val="65BB5FAD"/>
    <w:rsid w:val="66001835"/>
    <w:rsid w:val="6608177A"/>
    <w:rsid w:val="660F760A"/>
    <w:rsid w:val="66576F55"/>
    <w:rsid w:val="66682566"/>
    <w:rsid w:val="6673772B"/>
    <w:rsid w:val="67091952"/>
    <w:rsid w:val="67DF7314"/>
    <w:rsid w:val="68210629"/>
    <w:rsid w:val="68263870"/>
    <w:rsid w:val="688C4305"/>
    <w:rsid w:val="68C5601A"/>
    <w:rsid w:val="69121035"/>
    <w:rsid w:val="6A501A1D"/>
    <w:rsid w:val="6B11456F"/>
    <w:rsid w:val="6B5A41B1"/>
    <w:rsid w:val="6B9974F4"/>
    <w:rsid w:val="6BAB70FD"/>
    <w:rsid w:val="6BFD7704"/>
    <w:rsid w:val="6C3B495E"/>
    <w:rsid w:val="6C5B0373"/>
    <w:rsid w:val="6C636EB6"/>
    <w:rsid w:val="6DF259BC"/>
    <w:rsid w:val="6E067372"/>
    <w:rsid w:val="6E192264"/>
    <w:rsid w:val="6E2F0ED7"/>
    <w:rsid w:val="6E9B3559"/>
    <w:rsid w:val="6EED1D49"/>
    <w:rsid w:val="6F8A3AC7"/>
    <w:rsid w:val="6FC45FC6"/>
    <w:rsid w:val="70091D57"/>
    <w:rsid w:val="708263A7"/>
    <w:rsid w:val="709B1F96"/>
    <w:rsid w:val="713F6811"/>
    <w:rsid w:val="71626000"/>
    <w:rsid w:val="71885F5B"/>
    <w:rsid w:val="71B30078"/>
    <w:rsid w:val="71C241AA"/>
    <w:rsid w:val="71CC1D98"/>
    <w:rsid w:val="71F30778"/>
    <w:rsid w:val="72442BA8"/>
    <w:rsid w:val="729249E5"/>
    <w:rsid w:val="72CD7A4B"/>
    <w:rsid w:val="72ED63E7"/>
    <w:rsid w:val="72F81E54"/>
    <w:rsid w:val="730357C6"/>
    <w:rsid w:val="735432F0"/>
    <w:rsid w:val="73783CDB"/>
    <w:rsid w:val="73A86654"/>
    <w:rsid w:val="73ED2407"/>
    <w:rsid w:val="73FB303E"/>
    <w:rsid w:val="742E2EA9"/>
    <w:rsid w:val="74663E45"/>
    <w:rsid w:val="749708CA"/>
    <w:rsid w:val="752571F6"/>
    <w:rsid w:val="75294D3D"/>
    <w:rsid w:val="755D5DC8"/>
    <w:rsid w:val="75B73136"/>
    <w:rsid w:val="75D46DC4"/>
    <w:rsid w:val="75E131E8"/>
    <w:rsid w:val="768B17E4"/>
    <w:rsid w:val="76A06E78"/>
    <w:rsid w:val="76BF20D2"/>
    <w:rsid w:val="76FC5C4E"/>
    <w:rsid w:val="77435AA3"/>
    <w:rsid w:val="774D5B43"/>
    <w:rsid w:val="77C32A62"/>
    <w:rsid w:val="77E57656"/>
    <w:rsid w:val="77ED0295"/>
    <w:rsid w:val="784F127A"/>
    <w:rsid w:val="78AA166A"/>
    <w:rsid w:val="78ED7D53"/>
    <w:rsid w:val="7994427A"/>
    <w:rsid w:val="799A23F3"/>
    <w:rsid w:val="79AA75F8"/>
    <w:rsid w:val="79BF46EB"/>
    <w:rsid w:val="7A1E7246"/>
    <w:rsid w:val="7AAC02C4"/>
    <w:rsid w:val="7B467694"/>
    <w:rsid w:val="7B471D93"/>
    <w:rsid w:val="7B656437"/>
    <w:rsid w:val="7B8006C3"/>
    <w:rsid w:val="7B9160EF"/>
    <w:rsid w:val="7BBF2261"/>
    <w:rsid w:val="7C370041"/>
    <w:rsid w:val="7C4E6B86"/>
    <w:rsid w:val="7C506FDA"/>
    <w:rsid w:val="7C7A6355"/>
    <w:rsid w:val="7C990EA6"/>
    <w:rsid w:val="7CB5198B"/>
    <w:rsid w:val="7CE10FFD"/>
    <w:rsid w:val="7D2977DF"/>
    <w:rsid w:val="7E596FE0"/>
    <w:rsid w:val="7E5C28C7"/>
    <w:rsid w:val="7EE715DE"/>
    <w:rsid w:val="7F3A06F7"/>
    <w:rsid w:val="7F9B1E2B"/>
    <w:rsid w:val="7FA019E4"/>
    <w:rsid w:val="7FBA4162"/>
    <w:rsid w:val="7FCD7D23"/>
    <w:rsid w:val="7FFE4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7">
    <w:name w:val="Normal (Web)"/>
    <w:basedOn w:val="1"/>
    <w:qFormat/>
    <w:uiPriority w:val="0"/>
    <w:pPr>
      <w:spacing w:before="100" w:beforeAutospacing="1" w:after="100" w:afterAutospacing="1"/>
      <w:jc w:val="left"/>
    </w:pPr>
    <w:rPr>
      <w:kern w:val="0"/>
      <w:sz w:val="24"/>
    </w:rPr>
  </w:style>
  <w:style w:type="paragraph" w:styleId="8">
    <w:name w:val="Title"/>
    <w:basedOn w:val="1"/>
    <w:next w:val="1"/>
    <w:link w:val="16"/>
    <w:qFormat/>
    <w:uiPriority w:val="10"/>
    <w:pPr>
      <w:spacing w:before="240" w:after="60"/>
      <w:jc w:val="center"/>
      <w:outlineLvl w:val="0"/>
    </w:pPr>
    <w:rPr>
      <w:rFonts w:asciiTheme="majorHAnsi" w:hAnsiTheme="majorHAnsi" w:cstheme="majorBidi"/>
      <w:b/>
      <w:bCs/>
      <w:sz w:val="32"/>
      <w:szCs w:val="32"/>
    </w:rPr>
  </w:style>
  <w:style w:type="table" w:styleId="10">
    <w:name w:val="Table Grid"/>
    <w:basedOn w:val="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2">
    <w:name w:val="页眉 Char"/>
    <w:basedOn w:val="11"/>
    <w:link w:val="5"/>
    <w:qFormat/>
    <w:uiPriority w:val="99"/>
    <w:rPr>
      <w:sz w:val="18"/>
      <w:szCs w:val="18"/>
    </w:rPr>
  </w:style>
  <w:style w:type="character" w:customStyle="1" w:styleId="13">
    <w:name w:val="页脚 Char"/>
    <w:basedOn w:val="11"/>
    <w:link w:val="4"/>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标题 1 Char"/>
    <w:basedOn w:val="11"/>
    <w:link w:val="2"/>
    <w:qFormat/>
    <w:uiPriority w:val="9"/>
    <w:rPr>
      <w:b/>
      <w:bCs/>
      <w:kern w:val="44"/>
      <w:sz w:val="44"/>
      <w:szCs w:val="44"/>
    </w:rPr>
  </w:style>
  <w:style w:type="character" w:customStyle="1" w:styleId="16">
    <w:name w:val="标题 Char"/>
    <w:basedOn w:val="11"/>
    <w:link w:val="8"/>
    <w:qFormat/>
    <w:uiPriority w:val="10"/>
    <w:rPr>
      <w:rFonts w:asciiTheme="majorHAnsi" w:hAnsiTheme="majorHAnsi" w:cstheme="majorBidi"/>
      <w:b/>
      <w:bCs/>
      <w:kern w:val="2"/>
      <w:sz w:val="32"/>
      <w:szCs w:val="32"/>
    </w:rPr>
  </w:style>
  <w:style w:type="character" w:customStyle="1" w:styleId="17">
    <w:name w:val="标题 2 Char"/>
    <w:basedOn w:val="11"/>
    <w:link w:val="3"/>
    <w:qFormat/>
    <w:uiPriority w:val="9"/>
    <w:rPr>
      <w:rFonts w:asciiTheme="majorHAnsi" w:hAnsiTheme="majorHAnsi" w:eastAsiaTheme="majorEastAsia" w:cstheme="majorBidi"/>
      <w:b/>
      <w:bCs/>
      <w:kern w:val="2"/>
      <w:sz w:val="32"/>
      <w:szCs w:val="32"/>
    </w:rPr>
  </w:style>
  <w:style w:type="character" w:customStyle="1" w:styleId="18">
    <w:name w:val="不明显强调1"/>
    <w:basedOn w:val="11"/>
    <w:qFormat/>
    <w:uiPriority w:val="19"/>
    <w:rPr>
      <w:i/>
      <w:iCs/>
      <w:color w:val="7F7F7F" w:themeColor="text1" w:themeTint="7F"/>
    </w:rPr>
  </w:style>
  <w:style w:type="character" w:customStyle="1" w:styleId="19">
    <w:name w:val="副标题 Char"/>
    <w:basedOn w:val="11"/>
    <w:link w:val="6"/>
    <w:qFormat/>
    <w:uiPriority w:val="11"/>
    <w:rPr>
      <w:rFonts w:asciiTheme="majorHAnsi" w:hAnsiTheme="majorHAnsi" w:cstheme="majorBidi"/>
      <w:b/>
      <w:bCs/>
      <w:kern w:val="28"/>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820</Words>
  <Characters>4679</Characters>
  <Lines>38</Lines>
  <Paragraphs>10</Paragraphs>
  <TotalTime>1</TotalTime>
  <ScaleCrop>false</ScaleCrop>
  <LinksUpToDate>false</LinksUpToDate>
  <CharactersWithSpaces>5489</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2018-12-13T02:23:00Z</dcterms:created>
  <dc:creator>巴义尔</dc:creator>
  <cp:lastModifiedBy>郝军震</cp:lastModifiedBy>
  <dcterms:modified xsi:type="dcterms:W3CDTF">2021-06-03T03:51:43Z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