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both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  <w:lang w:val="en-US" w:eastAsia="zh-CN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u w:val="none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新疆巴州和静县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  <w:lang w:val="en-US" w:eastAsia="zh-CN"/>
        </w:rPr>
        <w:t>哈尔莫敦镇人民政府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2018年</w:t>
      </w:r>
      <w:r>
        <w:rPr>
          <w:rFonts w:hint="eastAsia" w:hAnsi="宋体" w:eastAsia="仿宋_GB2312" w:cs="宋体"/>
          <w:kern w:val="0"/>
          <w:sz w:val="36"/>
          <w:szCs w:val="36"/>
        </w:rPr>
        <w:t>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2" w:name="_GoBack"/>
      <w:bookmarkEnd w:id="2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哈尔莫墩镇晒场项目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和静县哈尔莫墩镇人民政府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刘宝江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hint="eastAsia" w:ascii="仿宋_GB2312" w:hAnsi="黑体" w:eastAsia="仿宋_GB2312" w:cs="仿宋_GB2312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（一）项目单位基本情况</w:t>
      </w:r>
    </w:p>
    <w:p>
      <w:pPr>
        <w:spacing w:line="360" w:lineRule="auto"/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  <w:lang w:val="zh-CN" w:eastAsia="zh-CN"/>
        </w:rPr>
        <w:t>哈尔莫敦镇位于和静县城以西，距县城直线距离30公里。行政区域面积3733平方公里，耕地面积11.3万亩，草场面积320万亩，林地面积8.3万亩，全镇总户数7297户，总人口22899人，居住着汉、维、蒙、回等16个民族。全镇辖10个行政村，2个社区，59个村民小组，23个行政企事业单位，驻镇企业20余家，农民专业合作社93家。镇党委下属10个党总支，69个党支部，共有党员548名，四老人员113名、村干部75名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（二）项目年度预算绩效目标、绩效指标设定情况</w:t>
      </w:r>
    </w:p>
    <w:p>
      <w:pPr>
        <w:spacing w:line="360" w:lineRule="auto"/>
        <w:ind w:firstLine="602" w:firstLineChars="200"/>
        <w:rPr>
          <w:rFonts w:hint="eastAsia" w:ascii="仿宋_GB2312" w:eastAsia="仿宋_GB2312" w:cs="仿宋_GB2312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项目年度预算绩效总目标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将建设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400平米晒场，</w:t>
      </w:r>
      <w:r>
        <w:rPr>
          <w:rFonts w:hint="eastAsia" w:ascii="仿宋_GB2312" w:eastAsia="仿宋_GB2312"/>
          <w:sz w:val="30"/>
          <w:szCs w:val="30"/>
        </w:rPr>
        <w:t>一是哈尔莫墩村晒场既给村民提供了农作物晾晒的场地，又解决了农村强占土地所产生的矛盾纠纷；二是缓和邻里纠纷、干群关系，村民无后顾之忧。三是 增加了农牧民群众收入，促进农村和谐稳定，加快构建和谐社会进程。</w:t>
      </w:r>
    </w:p>
    <w:p>
      <w:pPr>
        <w:numPr>
          <w:ilvl w:val="0"/>
          <w:numId w:val="1"/>
        </w:numPr>
        <w:spacing w:line="360" w:lineRule="auto"/>
        <w:ind w:firstLine="602" w:firstLineChars="200"/>
        <w:rPr>
          <w:rFonts w:hint="eastAsia" w:asci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eastAsia="仿宋_GB2312" w:cs="仿宋_GB2312"/>
          <w:b/>
          <w:bCs/>
          <w:sz w:val="30"/>
          <w:szCs w:val="30"/>
        </w:rPr>
        <w:t>项目绩效指标设定情况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哈尔莫敦镇安居富民工程项目总投资10万元，全部由上级财政拨款，2018年12月已付10万元。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（三）项目基本性质、用途和主要内容、涉及范围</w:t>
      </w:r>
    </w:p>
    <w:p>
      <w:pPr>
        <w:spacing w:line="360" w:lineRule="auto"/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项目基本性质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基本建设类项目。</w:t>
      </w:r>
    </w:p>
    <w:p>
      <w:pPr>
        <w:spacing w:line="360" w:lineRule="auto"/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项目用途和主要内容</w:t>
      </w:r>
    </w:p>
    <w:p>
      <w:pPr>
        <w:spacing w:line="560" w:lineRule="exact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sz w:val="30"/>
          <w:szCs w:val="30"/>
        </w:rPr>
        <w:t>项目用途：</w:t>
      </w:r>
      <w:r>
        <w:rPr>
          <w:rFonts w:hint="eastAsia" w:ascii="仿宋_GB2312" w:eastAsia="仿宋_GB2312"/>
          <w:sz w:val="30"/>
          <w:szCs w:val="30"/>
          <w:lang w:eastAsia="zh-CN"/>
        </w:rPr>
        <w:t>将建设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400平米晒场，</w:t>
      </w:r>
      <w:r>
        <w:rPr>
          <w:rFonts w:hint="eastAsia" w:ascii="仿宋_GB2312" w:eastAsia="仿宋_GB2312"/>
          <w:sz w:val="30"/>
          <w:szCs w:val="30"/>
        </w:rPr>
        <w:t>一是哈尔莫墩村晒场既给村民提供了农作物晾晒的场地，又解决了农村强占土地所产生的矛盾纠纷；二是缓和邻里纠纷、干群关系，村民无后顾之忧。三是 增加了农牧民群众收入，促进农村和谐稳定，加快构建和谐社会进程。</w:t>
      </w:r>
    </w:p>
    <w:p>
      <w:pPr>
        <w:ind w:firstLine="600" w:firstLineChars="200"/>
        <w:rPr>
          <w:rFonts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项目内容：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建设400平米晒场。</w:t>
      </w:r>
    </w:p>
    <w:p>
      <w:pPr>
        <w:spacing w:line="360" w:lineRule="auto"/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项目涉及范围</w:t>
      </w:r>
    </w:p>
    <w:p>
      <w:pPr>
        <w:ind w:firstLine="600" w:firstLineChars="200"/>
        <w:rPr>
          <w:rFonts w:hint="default" w:ascii="仿宋_GB2312" w:eastAsia="仿宋_GB2312" w:cs="Times New Roman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b w:val="0"/>
          <w:bCs w:val="0"/>
          <w:sz w:val="30"/>
          <w:szCs w:val="30"/>
        </w:rPr>
        <w:t>项目位于</w:t>
      </w:r>
      <w:r>
        <w:rPr>
          <w:rFonts w:hint="eastAsia" w:ascii="仿宋_GB2312" w:eastAsia="仿宋_GB2312" w:cs="仿宋_GB2312"/>
          <w:b w:val="0"/>
          <w:bCs w:val="0"/>
          <w:sz w:val="30"/>
          <w:szCs w:val="30"/>
          <w:lang w:eastAsia="zh-CN"/>
        </w:rPr>
        <w:t>哈尔莫敦镇哈尔莫墩村</w:t>
      </w:r>
      <w:r>
        <w:rPr>
          <w:rFonts w:hint="eastAsia" w:ascii="仿宋_GB2312" w:eastAsia="仿宋_GB2312" w:cs="仿宋_GB2312"/>
          <w:b w:val="0"/>
          <w:bCs w:val="0"/>
          <w:sz w:val="30"/>
          <w:szCs w:val="30"/>
          <w:lang w:val="en-US" w:eastAsia="zh-CN"/>
        </w:rPr>
        <w:t>5组。</w:t>
      </w: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（一）项目资金安排落实、总投入等情况分析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2018年</w:t>
      </w:r>
      <w:r>
        <w:rPr>
          <w:rFonts w:hint="eastAsia" w:ascii="仿宋_GB2312" w:eastAsia="仿宋_GB2312" w:cs="仿宋_GB2312"/>
          <w:sz w:val="30"/>
          <w:szCs w:val="30"/>
        </w:rPr>
        <w:t>项目总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投资10</w:t>
      </w:r>
      <w:r>
        <w:rPr>
          <w:rFonts w:hint="eastAsia" w:ascii="仿宋_GB2312" w:eastAsia="仿宋_GB2312" w:cs="仿宋_GB2312"/>
          <w:sz w:val="30"/>
          <w:szCs w:val="30"/>
        </w:rPr>
        <w:t>万元，</w:t>
      </w:r>
      <w:r>
        <w:rPr>
          <w:rFonts w:ascii="仿宋_GB2312" w:eastAsia="仿宋_GB2312" w:cs="仿宋_GB2312"/>
          <w:sz w:val="30"/>
          <w:szCs w:val="30"/>
        </w:rPr>
        <w:t>201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 w:cs="仿宋_GB2312"/>
          <w:sz w:val="30"/>
          <w:szCs w:val="30"/>
        </w:rPr>
        <w:t>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拨款10万元</w:t>
      </w:r>
      <w:r>
        <w:rPr>
          <w:rFonts w:hint="eastAsia" w:ascii="仿宋_GB2312" w:eastAsia="仿宋_GB2312" w:cs="仿宋_GB2312"/>
          <w:sz w:val="30"/>
          <w:szCs w:val="30"/>
        </w:rPr>
        <w:t>均为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上级</w:t>
      </w:r>
      <w:r>
        <w:rPr>
          <w:rFonts w:hint="eastAsia" w:ascii="仿宋_GB2312" w:eastAsia="仿宋_GB2312" w:cs="仿宋_GB2312"/>
          <w:sz w:val="30"/>
          <w:szCs w:val="30"/>
        </w:rPr>
        <w:t>财政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拨款</w:t>
      </w:r>
      <w:r>
        <w:rPr>
          <w:rFonts w:hint="eastAsia" w:ascii="仿宋_GB2312" w:eastAsia="仿宋_GB2312" w:cs="仿宋_GB2312"/>
          <w:sz w:val="30"/>
          <w:szCs w:val="30"/>
        </w:rPr>
        <w:t>资金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eastAsia="仿宋_GB2312" w:cs="仿宋_GB2312"/>
          <w:sz w:val="30"/>
          <w:szCs w:val="30"/>
        </w:rPr>
        <w:t>到位资金全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部投</w:t>
      </w:r>
      <w:r>
        <w:rPr>
          <w:rFonts w:hint="eastAsia" w:ascii="仿宋_GB2312" w:eastAsia="仿宋_GB2312" w:cs="仿宋_GB2312"/>
          <w:sz w:val="30"/>
          <w:szCs w:val="30"/>
        </w:rPr>
        <w:t>入项目使用。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（二）项目资金实际使用情况分析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项目总额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10</w:t>
      </w:r>
      <w:r>
        <w:rPr>
          <w:rFonts w:hint="eastAsia" w:ascii="仿宋_GB2312" w:eastAsia="仿宋_GB2312" w:cs="仿宋_GB2312"/>
          <w:sz w:val="30"/>
          <w:szCs w:val="30"/>
        </w:rPr>
        <w:t>万元，主要用于项目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物资采购</w:t>
      </w:r>
      <w:r>
        <w:rPr>
          <w:rFonts w:hint="eastAsia" w:ascii="仿宋_GB2312" w:eastAsia="仿宋_GB2312" w:cs="仿宋_GB2312"/>
          <w:sz w:val="30"/>
          <w:szCs w:val="30"/>
        </w:rPr>
        <w:t>、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项目施工费</w:t>
      </w:r>
      <w:r>
        <w:rPr>
          <w:rFonts w:hint="eastAsia" w:ascii="仿宋_GB2312" w:eastAsia="仿宋_GB2312" w:cs="仿宋_GB2312"/>
          <w:sz w:val="30"/>
          <w:szCs w:val="30"/>
        </w:rPr>
        <w:t>、其他费用等。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资金收支管理为国库集中支付，支付手续规范，资金管理总体符合财务管理制度。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（三）项目资金管理情况析</w:t>
      </w:r>
    </w:p>
    <w:p>
      <w:pPr>
        <w:ind w:firstLine="600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sz w:val="30"/>
          <w:szCs w:val="30"/>
        </w:rPr>
        <w:t>项目资金实行专款专用，单独核算，项目法人对资金的使用负管理责任；严格按照项目管理的相关规定，统一资金管理，加强资金审计监督，建立按照项目施工进度拨付资金的内部控制制度，按工程进度拨款，保证项目实施的正常运行；建立健全项目会计核算制度，对项目资金实行全过程的财务管理与监督；严格项目资金竣工决算，规范项目的业绩考评和追踪问效，使项目资金合理、有效使用。</w:t>
      </w: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（一）项目组织情况分析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项目组织情况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项目承担单位依据批复资金，按照《自治区整治项目管理暂行办法》等有关规定，依据《中华人民共和国招标法》、九部委《工程建设项目施工招标办法》组织进行项目招标工作。项目承担单位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和静县哈尔莫敦镇</w:t>
      </w:r>
      <w:r>
        <w:rPr>
          <w:rFonts w:hint="eastAsia" w:ascii="仿宋_GB2312" w:eastAsia="仿宋_GB2312" w:cs="仿宋_GB2312"/>
          <w:sz w:val="30"/>
          <w:szCs w:val="30"/>
        </w:rPr>
        <w:t>组织制定了招标工作方案。招标工作严格按照批准的招标工作方案执行。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项目调整情况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本项目不存在调整情况。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项目验收情况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本项目于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2018年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10</w:t>
      </w:r>
      <w:r>
        <w:rPr>
          <w:rFonts w:hint="eastAsia" w:ascii="仿宋_GB2312" w:eastAsia="仿宋_GB2312" w:cs="仿宋_GB2312"/>
          <w:sz w:val="30"/>
          <w:szCs w:val="30"/>
        </w:rPr>
        <w:t>月实施，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已验收</w:t>
      </w:r>
      <w:r>
        <w:rPr>
          <w:rFonts w:hint="eastAsia" w:ascii="仿宋_GB2312" w:eastAsia="仿宋_GB2312" w:cs="仿宋_GB2312"/>
          <w:sz w:val="30"/>
          <w:szCs w:val="30"/>
        </w:rPr>
        <w:t>竣工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投入使用</w:t>
      </w:r>
      <w:r>
        <w:rPr>
          <w:rFonts w:hint="eastAsia" w:ascii="仿宋_GB2312" w:eastAsia="仿宋_GB2312" w:cs="仿宋_GB2312"/>
          <w:sz w:val="30"/>
          <w:szCs w:val="30"/>
        </w:rPr>
        <w:t>。</w:t>
      </w:r>
      <w:r>
        <w:rPr>
          <w:rFonts w:ascii="仿宋_GB2312" w:eastAsia="仿宋_GB2312" w:cs="Times New Roman"/>
          <w:sz w:val="30"/>
          <w:szCs w:val="30"/>
        </w:rPr>
        <w:t xml:space="preserve"> 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（二）项目管理情况分析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项目管理机构构建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  <w:lang w:eastAsia="zh-CN"/>
        </w:rPr>
        <w:t>和静县哈尔莫敦镇人民政府</w:t>
      </w:r>
      <w:r>
        <w:rPr>
          <w:rFonts w:hint="eastAsia" w:ascii="仿宋_GB2312" w:eastAsia="仿宋_GB2312" w:cs="仿宋_GB2312"/>
          <w:sz w:val="30"/>
          <w:szCs w:val="30"/>
        </w:rPr>
        <w:t>作为项目承担单位负责项目变更审批、项目合同段验收、项目实施的监督检查和各方协调、财务决算审计等工作；项目所在地和静县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哈尔莫敦镇人民政府</w:t>
      </w:r>
      <w:r>
        <w:rPr>
          <w:rFonts w:hint="eastAsia" w:ascii="仿宋_GB2312" w:eastAsia="仿宋_GB2312" w:cs="仿宋_GB2312"/>
          <w:sz w:val="30"/>
          <w:szCs w:val="30"/>
        </w:rPr>
        <w:t>作为实施单位负责项目的具体实施工作、分部验收工作等工作。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项目所在地县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镇</w:t>
      </w:r>
      <w:r>
        <w:rPr>
          <w:rFonts w:hint="eastAsia" w:ascii="仿宋_GB2312" w:eastAsia="仿宋_GB2312" w:cs="仿宋_GB2312"/>
          <w:sz w:val="30"/>
          <w:szCs w:val="30"/>
        </w:rPr>
        <w:t>专门成立了领导小组，负责在实施过程中的协调和重大事项的审批工作，领导小组由分管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项目</w:t>
      </w:r>
      <w:r>
        <w:rPr>
          <w:rFonts w:hint="eastAsia" w:ascii="仿宋_GB2312" w:eastAsia="仿宋_GB2312" w:cs="仿宋_GB2312"/>
          <w:sz w:val="30"/>
          <w:szCs w:val="30"/>
        </w:rPr>
        <w:t>工作的领导担任组长，</w:t>
      </w:r>
      <w:r>
        <w:rPr>
          <w:rFonts w:asci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eastAsia="仿宋_GB2312" w:cs="仿宋_GB2312"/>
          <w:sz w:val="30"/>
          <w:szCs w:val="30"/>
        </w:rPr>
        <w:t>成员由项目所在地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政府办公室、财政所</w:t>
      </w:r>
      <w:r>
        <w:rPr>
          <w:rFonts w:hint="eastAsia" w:ascii="仿宋_GB2312" w:eastAsia="仿宋_GB2312" w:cs="仿宋_GB2312"/>
          <w:sz w:val="30"/>
          <w:szCs w:val="30"/>
        </w:rPr>
        <w:t>、国土资源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所</w:t>
      </w:r>
      <w:r>
        <w:rPr>
          <w:rFonts w:hint="eastAsia" w:ascii="仿宋_GB2312" w:eastAsia="仿宋_GB2312" w:cs="仿宋_GB2312"/>
          <w:sz w:val="30"/>
          <w:szCs w:val="30"/>
        </w:rPr>
        <w:t>、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城建办</w:t>
      </w:r>
      <w:r>
        <w:rPr>
          <w:rFonts w:hint="eastAsia" w:ascii="仿宋_GB2312" w:eastAsia="仿宋_GB2312" w:cs="仿宋_GB2312"/>
          <w:sz w:val="30"/>
          <w:szCs w:val="30"/>
        </w:rPr>
        <w:t>、环保局等单位组成。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项目管理制度保障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hint="eastAsia" w:ascii="仿宋_GB2312" w:eastAsia="仿宋_GB2312" w:cs="仿宋_GB2312"/>
          <w:sz w:val="30"/>
          <w:szCs w:val="30"/>
        </w:rPr>
        <w:t>）项目管理制度保障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为强化项目规范管理，从项目立项审批开始，到实施、竣工等工程建设的各个阶段，严格执行公告制、法人制、招标制、合同制、监理制、审计制、验收制等制度，明确目标责任，规范运作程序，确保公开透明，保障工程质量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>2</w:t>
      </w:r>
      <w:r>
        <w:rPr>
          <w:rFonts w:hint="eastAsia" w:ascii="仿宋_GB2312" w:eastAsia="仿宋_GB2312" w:cs="仿宋_GB2312"/>
          <w:sz w:val="30"/>
          <w:szCs w:val="30"/>
        </w:rPr>
        <w:t>）日常检查监督管理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为加强项目的有效监管，由承担单位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定期</w:t>
      </w:r>
      <w:r>
        <w:rPr>
          <w:rFonts w:hint="eastAsia" w:ascii="仿宋_GB2312" w:eastAsia="仿宋_GB2312" w:cs="仿宋_GB2312"/>
          <w:sz w:val="30"/>
          <w:szCs w:val="30"/>
        </w:rPr>
        <w:t>组织对项目组织管理与制度执行情况、项目规划设计和预算执行情况、项目建设工程任务完成情况、项目资金使用与管理情况、土地权属调整和农民权益维护情况、项目验收和后期管护情况、项目档案资料管理情况等内容开展专项检查或者不定期抽查，开展监督检查措施主要是内业检查、外业检查、质量跟踪、开展审计等措施，强化项目的动态监管，确保项目工程建设质量。</w:t>
      </w:r>
    </w:p>
    <w:p>
      <w:pPr>
        <w:ind w:firstLine="643" w:firstLineChars="200"/>
        <w:outlineLvl w:val="0"/>
        <w:rPr>
          <w:rFonts w:ascii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cs="宋体"/>
          <w:b/>
          <w:bCs/>
          <w:color w:val="000000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（一）项目绩效目标完成情况分析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项目经济性分析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资金实行预算管理制度，专款专用，单独核算，项目法人对资金的使用负管理责任；严格按照项目管理的相关规定，统一资金管理。加强资金审计监督，建立按照项目施工进度拨付资金的内部控制制度，按工程进度拨款，保证项目实施的正常运行；建立健全项目会计核算制度和内部稽核制度，对项目资金实行全过程的财务管理与监督；严格项目资金竣工决算，规范项目的业绩考评和追踪问效，使项目资金合理、有效使用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项目效率性分析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项目的实施进度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在项目工程施工进度方面，按设计施工进度要求，各项工程建设任务达到预期目标。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项目的效益性分析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在社会效益方面，一是项目实施，吸纳了部分剩余劳动力，为当地群众解困和劳动力转移提供了就业机会，有效地减轻了就业压力，促进了当地社会的稳定。二是项目实施促进了项目区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为民办事效率，增进了党群、干群关系增加了凝聚力，改善</w:t>
      </w:r>
      <w:r>
        <w:rPr>
          <w:rFonts w:hint="eastAsia" w:ascii="仿宋_GB2312" w:eastAsia="仿宋_GB2312" w:cs="仿宋_GB2312"/>
          <w:sz w:val="30"/>
          <w:szCs w:val="30"/>
        </w:rPr>
        <w:t>了该地区的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人民满意度</w:t>
      </w:r>
      <w:r>
        <w:rPr>
          <w:rFonts w:hint="eastAsia" w:ascii="仿宋_GB2312" w:eastAsia="仿宋_GB2312" w:cs="仿宋_GB2312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sz w:val="30"/>
          <w:szCs w:val="30"/>
        </w:rPr>
        <w:t>在经济效益方面，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安居富民工程为村党组织带领群众发展产业、改善基础设施、促进群众增收致富搭建了平台。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4.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可持续性分析</w:t>
      </w:r>
    </w:p>
    <w:p>
      <w:pPr>
        <w:spacing w:line="560" w:lineRule="exact"/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通过本项目的实施，</w:t>
      </w:r>
      <w:r>
        <w:rPr>
          <w:rFonts w:hint="eastAsia" w:ascii="仿宋_GB2312" w:eastAsia="仿宋_GB2312"/>
          <w:sz w:val="30"/>
          <w:szCs w:val="30"/>
        </w:rPr>
        <w:t>一是哈尔莫墩村晒场既给村民提供了农作物晾晒的场地，又解决了农村强占土地所产生的矛盾纠纷；二是缓和邻里纠纷、干群关系，村民无后顾之忧。三是 增加了农牧民群众收入，促进农村和谐稳定，加快构建和谐社会进程。</w:t>
      </w:r>
      <w:r>
        <w:rPr>
          <w:rFonts w:hint="eastAsia" w:ascii="仿宋_GB2312" w:eastAsia="仿宋_GB2312" w:cs="仿宋_GB2312"/>
          <w:sz w:val="30"/>
          <w:szCs w:val="30"/>
        </w:rPr>
        <w:t>表明本项目具有可持续性。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（二）项目绩效目标未完成原因分析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该项目建设期：２０１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 w:cs="仿宋_GB2312"/>
          <w:sz w:val="30"/>
          <w:szCs w:val="30"/>
        </w:rPr>
        <w:t>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10</w:t>
      </w:r>
      <w:r>
        <w:rPr>
          <w:rFonts w:hint="eastAsia" w:ascii="仿宋_GB2312" w:eastAsia="仿宋_GB2312" w:cs="仿宋_GB2312"/>
          <w:sz w:val="30"/>
          <w:szCs w:val="30"/>
        </w:rPr>
        <w:t>月，目前已完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共投入使用</w:t>
      </w:r>
      <w:r>
        <w:rPr>
          <w:rFonts w:hint="eastAsia" w:ascii="仿宋_GB2312" w:eastAsia="仿宋_GB2312" w:cs="仿宋_GB2312"/>
          <w:sz w:val="30"/>
          <w:szCs w:val="30"/>
        </w:rPr>
        <w:t>，本项目目前基本完成了项目绩效目标。</w:t>
      </w:r>
    </w:p>
    <w:p>
      <w:pPr>
        <w:ind w:firstLine="643" w:firstLineChars="200"/>
        <w:outlineLvl w:val="0"/>
        <w:rPr>
          <w:rFonts w:ascii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cs="宋体"/>
          <w:b/>
          <w:bCs/>
          <w:color w:val="000000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（一）后续工作计划</w:t>
      </w:r>
    </w:p>
    <w:p>
      <w:pPr>
        <w:ind w:firstLine="600" w:firstLineChars="200"/>
        <w:rPr>
          <w:rFonts w:hint="eastAsia" w:ascii="仿宋_GB2312" w:hAnsi="黑体" w:eastAsia="仿宋_GB2312" w:cs="仿宋_GB2312"/>
          <w:b w:val="0"/>
          <w:bCs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针对该项目实施实际情况，充分利用绩效综合评价结果，总结和推广好的经验，分析存在的问题和原因，制定完善管理措施，切实管好用好财政专项资金，发挥好财政资金带动作用，为农村农业畜牧养殖业的发展打下坚实的基础，更大程度的发挥该项目的经济和社会效益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（二）主要经验做法、存在问题和建议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主要经验做法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hint="eastAsia" w:ascii="仿宋_GB2312" w:eastAsia="仿宋_GB2312" w:cs="仿宋_GB2312"/>
          <w:b/>
          <w:bCs/>
          <w:sz w:val="30"/>
          <w:szCs w:val="30"/>
        </w:rPr>
        <w:t>（</w:t>
      </w:r>
      <w:r>
        <w:rPr>
          <w:rFonts w:ascii="仿宋_GB2312" w:eastAsia="仿宋_GB2312" w:cs="仿宋_GB2312"/>
          <w:b/>
          <w:bCs/>
          <w:sz w:val="30"/>
          <w:szCs w:val="30"/>
        </w:rPr>
        <w:t>1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）坚持依法规范化运作管理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实施前期，一定要手续合法、程序到位、运作规范。一是项目实施要有批准文件；二是要严格按照国家和自治区对国家重点项目的运作程序和要求，按照前期立项选址、测量、规划设计及预算编制、投资评审及修改完善、项目招标、工程监理、实施管理、竣工验收等环节程序进行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hint="eastAsia" w:ascii="仿宋_GB2312" w:eastAsia="仿宋_GB2312" w:cs="仿宋_GB2312"/>
          <w:b/>
          <w:bCs/>
          <w:sz w:val="30"/>
          <w:szCs w:val="30"/>
        </w:rPr>
        <w:t>（</w:t>
      </w:r>
      <w:r>
        <w:rPr>
          <w:rFonts w:ascii="仿宋_GB2312" w:eastAsia="仿宋_GB2312" w:cs="仿宋_GB2312"/>
          <w:b/>
          <w:bCs/>
          <w:sz w:val="30"/>
          <w:szCs w:val="30"/>
        </w:rPr>
        <w:t>2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）坚持不断优化规划设计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在规划设计过程中，一定要深入到项目区，做到规划设计科学合理、客观使用。在项目施工过程中，对规划设计方案中的一些不符合实际的设计，应根据实际情况，进行工程设计变更，并严格履行变更报批手续。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hint="eastAsia" w:ascii="仿宋_GB2312" w:eastAsia="仿宋_GB2312" w:cs="仿宋_GB2312"/>
          <w:b/>
          <w:bCs/>
          <w:sz w:val="30"/>
          <w:szCs w:val="30"/>
        </w:rPr>
        <w:t>（</w:t>
      </w:r>
      <w:r>
        <w:rPr>
          <w:rFonts w:ascii="仿宋_GB2312" w:eastAsia="仿宋_GB2312" w:cs="仿宋_GB2312"/>
          <w:b/>
          <w:bCs/>
          <w:sz w:val="30"/>
          <w:szCs w:val="30"/>
        </w:rPr>
        <w:t>3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）各相关部门通力协作、齐抓共管、发挥整体功能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实施要严格执行项目法人制、项目公告制、项目招投标制、项目监理制、项目合同制等五项制度。项目承担单位推行管理目标责任制，具体负责协调解决工程建设中的有关问题。监理单位负责对工程的进度、质量等情况进行监理，施工单位负责保时保质保量完成项目规划设计的目标。在项目资金使用与管理方面，严格按财务管理制度落实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存在主要问题</w:t>
      </w:r>
    </w:p>
    <w:p>
      <w:pPr>
        <w:ind w:firstLine="64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eastAsia="方正仿宋_GBK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 w:cs="仿宋_GB2312"/>
          <w:sz w:val="30"/>
          <w:szCs w:val="30"/>
        </w:rPr>
        <w:t>一）项目审批程序复杂，建设用地指标少、审批难，因各项手续多、周期长，在一定程度上影响了项目建设和资金支付进度；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（二）村镇建设管理和专业技术人才相对缺乏，在工作协调等方面存在不足，影响了村镇建设的整体推进；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 xml:space="preserve">（三）社会化融资渠道较为单一，社会资本投资由于受投资额度大、盈利能力弱、回收周期长、城镇人口少、小城镇规模小等因素的制约，参与新型城镇化建设项目的投资积极性不足。 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相关建议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加强与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县、乡</w:t>
      </w:r>
      <w:r>
        <w:rPr>
          <w:rFonts w:hint="eastAsia" w:ascii="仿宋_GB2312" w:eastAsia="仿宋_GB2312" w:cs="仿宋_GB2312"/>
          <w:sz w:val="30"/>
          <w:szCs w:val="30"/>
        </w:rPr>
        <w:t>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施工单位</w:t>
      </w:r>
      <w:r>
        <w:rPr>
          <w:rFonts w:hint="eastAsia" w:ascii="仿宋_GB2312" w:eastAsia="仿宋_GB2312" w:cs="仿宋_GB2312"/>
          <w:sz w:val="30"/>
          <w:szCs w:val="30"/>
        </w:rPr>
        <w:t>的协调沟通，施工单位加强施工原料储备，加强协调组织和技术力量，合理调整施工进度，在可施工时段内合理有序的加快施工进度，保证项目按时保质完成。</w:t>
      </w:r>
    </w:p>
    <w:p>
      <w:pPr>
        <w:tabs>
          <w:tab w:val="left" w:pos="1050"/>
        </w:tabs>
        <w:ind w:firstLine="600"/>
        <w:outlineLvl w:val="0"/>
        <w:rPr>
          <w:rFonts w:ascii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cs="宋体"/>
          <w:b/>
          <w:bCs/>
          <w:color w:val="000000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bookmarkStart w:id="0" w:name="_Toc493765640"/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（一）绩效评价设计过程</w:t>
      </w:r>
      <w:bookmarkEnd w:id="0"/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评价小组在项目竣工后全面审核项目相关资料的基础上，通过对项目实施的检查评价，从而完成对整体项目的分析、总结得出评价结论。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bookmarkStart w:id="1" w:name="_Toc493765641"/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（二）项目绩效评价原则和方法</w:t>
      </w:r>
      <w:bookmarkEnd w:id="1"/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本次绩效评价结合实际情况，按照设定的绩效目标，运用科学、合理的评价方法等，对项目的投入、过程、产出、效果的各个方面进行客观、公正地评价，侧重评价项目的产出及其效果。本次绩效评价主要采用比较法，即通过对绩效目标与实施效果比较，综合分析绩效目标实现程度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eastAsia="楷体_GB2312" w:cs="Times New Roman"/>
          <w:b/>
          <w:bCs/>
          <w:sz w:val="32"/>
          <w:szCs w:val="32"/>
        </w:rPr>
      </w:pPr>
      <w:r>
        <w:rPr>
          <w:rFonts w:hint="eastAsia" w:eastAsia="楷体_GB2312" w:cs="楷体_GB2312"/>
          <w:b/>
          <w:bCs/>
          <w:sz w:val="32"/>
          <w:szCs w:val="32"/>
        </w:rPr>
        <w:t>（三）评价结果</w:t>
      </w:r>
    </w:p>
    <w:p>
      <w:pPr>
        <w:ind w:firstLine="600" w:firstLineChars="200"/>
        <w:rPr>
          <w:rFonts w:hint="eastAsia" w:ascii="Times New Roman" w:hAnsi="Times New Roman" w:eastAsia="仿宋_GB2312" w:cs="仿宋_GB2312"/>
          <w:sz w:val="30"/>
          <w:szCs w:val="30"/>
        </w:rPr>
      </w:pPr>
      <w:r>
        <w:rPr>
          <w:rFonts w:hint="eastAsia" w:ascii="Times New Roman" w:hAnsi="Times New Roman" w:eastAsia="仿宋_GB2312" w:cs="仿宋_GB2312"/>
          <w:sz w:val="30"/>
          <w:szCs w:val="30"/>
        </w:rPr>
        <w:t>本次项目绩效评价结果为良。</w:t>
      </w:r>
    </w:p>
    <w:p>
      <w:pPr>
        <w:spacing w:line="540" w:lineRule="exact"/>
        <w:ind w:firstLine="640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《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哈尔莫敦镇人民政府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财政项目支出绩效自评表》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79A95"/>
    <w:multiLevelType w:val="singleLevel"/>
    <w:tmpl w:val="7F979A9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552CE"/>
    <w:rsid w:val="06D72C5F"/>
    <w:rsid w:val="06E221B7"/>
    <w:rsid w:val="08E54008"/>
    <w:rsid w:val="0A90603F"/>
    <w:rsid w:val="12621192"/>
    <w:rsid w:val="139F6328"/>
    <w:rsid w:val="1BFC326A"/>
    <w:rsid w:val="1DF24E9B"/>
    <w:rsid w:val="1F135BF4"/>
    <w:rsid w:val="210F20DE"/>
    <w:rsid w:val="28C75F7A"/>
    <w:rsid w:val="2C965EB5"/>
    <w:rsid w:val="2CF87CB1"/>
    <w:rsid w:val="30DE114D"/>
    <w:rsid w:val="390B4D23"/>
    <w:rsid w:val="40056AA6"/>
    <w:rsid w:val="4376008F"/>
    <w:rsid w:val="481250AB"/>
    <w:rsid w:val="5C4A27C8"/>
    <w:rsid w:val="640E77B9"/>
    <w:rsid w:val="65CB5B63"/>
    <w:rsid w:val="693E4E37"/>
    <w:rsid w:val="6CA23567"/>
    <w:rsid w:val="6E385AC1"/>
    <w:rsid w:val="6E8F4648"/>
    <w:rsid w:val="72785CA3"/>
    <w:rsid w:val="72BC3DBB"/>
    <w:rsid w:val="7F63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widowControl/>
      <w:spacing w:before="240" w:after="60"/>
      <w:jc w:val="left"/>
      <w:outlineLvl w:val="2"/>
    </w:pPr>
    <w:rPr>
      <w:rFonts w:ascii="Cambria" w:hAnsi="Cambria" w:eastAsia="宋体"/>
      <w:b/>
      <w:bCs/>
      <w:kern w:val="0"/>
      <w:sz w:val="26"/>
      <w:szCs w:val="2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qq</dc:creator>
  <cp:lastModifiedBy>Administrator</cp:lastModifiedBy>
  <dcterms:modified xsi:type="dcterms:W3CDTF">2021-05-29T09:04:23Z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