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600" w:lineRule="auto"/>
        <w:ind w:left="0" w:right="0" w:firstLine="640"/>
        <w:jc w:val="both"/>
        <w:rPr>
          <w:rFonts w:ascii="方正小标宋_GBK" w:hAnsi="方正小标宋_GBK" w:eastAsia="方正小标宋_GBK" w:cs="方正小标宋_GBK"/>
          <w:color w:val="auto"/>
          <w:spacing w:val="0"/>
          <w:position w:val="0"/>
          <w:sz w:val="44"/>
          <w:shd w:val="clear" w:fill="auto"/>
        </w:rPr>
      </w:pPr>
    </w:p>
    <w:p>
      <w:pPr>
        <w:spacing w:before="0" w:after="0" w:line="600" w:lineRule="auto"/>
        <w:ind w:left="0" w:right="0" w:firstLine="642"/>
        <w:jc w:val="center"/>
        <w:rPr>
          <w:rFonts w:ascii="方正小标宋_GBK" w:hAnsi="方正小标宋_GBK" w:eastAsia="方正小标宋_GBK" w:cs="方正小标宋_GBK"/>
          <w:color w:val="000000" w:themeColor="text1"/>
          <w:spacing w:val="0"/>
          <w:position w:val="0"/>
          <w:sz w:val="44"/>
          <w:shd w:val="clear" w:fill="auto"/>
        </w:rPr>
      </w:pPr>
    </w:p>
    <w:p>
      <w:pPr>
        <w:spacing w:before="0" w:after="0" w:line="600" w:lineRule="auto"/>
        <w:ind w:left="0" w:right="0" w:firstLine="642"/>
        <w:jc w:val="center"/>
        <w:rPr>
          <w:rFonts w:ascii="方正小标宋_GBK" w:hAnsi="方正小标宋_GBK" w:eastAsia="方正小标宋_GBK" w:cs="方正小标宋_GBK"/>
          <w:color w:val="000000" w:themeColor="text1"/>
          <w:spacing w:val="0"/>
          <w:position w:val="0"/>
          <w:sz w:val="44"/>
          <w:shd w:val="clear" w:fill="auto"/>
        </w:rPr>
      </w:pPr>
    </w:p>
    <w:p>
      <w:pPr>
        <w:spacing w:before="0" w:after="0" w:line="600" w:lineRule="auto"/>
        <w:ind w:left="0" w:right="0" w:firstLine="642"/>
        <w:jc w:val="center"/>
        <w:rPr>
          <w:rFonts w:ascii="方正小标宋_GBK" w:hAnsi="方正小标宋_GBK" w:eastAsia="方正小标宋_GBK" w:cs="方正小标宋_GBK"/>
          <w:color w:val="000000" w:themeColor="text1"/>
          <w:spacing w:val="0"/>
          <w:position w:val="0"/>
          <w:sz w:val="44"/>
          <w:shd w:val="clear" w:fill="auto"/>
        </w:rPr>
      </w:pPr>
    </w:p>
    <w:p>
      <w:pPr>
        <w:spacing w:before="0" w:after="0" w:line="600" w:lineRule="auto"/>
        <w:ind w:left="0" w:right="0" w:firstLine="642"/>
        <w:jc w:val="center"/>
        <w:rPr>
          <w:rFonts w:ascii="方正小标宋_GBK" w:hAnsi="方正小标宋_GBK" w:eastAsia="方正小标宋_GBK" w:cs="方正小标宋_GBK"/>
          <w:color w:val="000000" w:themeColor="text1"/>
          <w:spacing w:val="0"/>
          <w:position w:val="0"/>
          <w:sz w:val="44"/>
          <w:shd w:val="clear" w:fill="auto"/>
        </w:rPr>
      </w:pPr>
    </w:p>
    <w:p>
      <w:pPr>
        <w:spacing w:before="0" w:after="0" w:line="600" w:lineRule="auto"/>
        <w:ind w:left="0" w:leftChars="0" w:right="0" w:firstLine="0" w:firstLineChars="0"/>
        <w:jc w:val="center"/>
        <w:rPr>
          <w:rFonts w:ascii="方正小标宋_GBK" w:hAnsi="方正小标宋_GBK" w:eastAsia="方正小标宋_GBK" w:cs="方正小标宋_GBK"/>
          <w:color w:val="000000" w:themeColor="text1"/>
          <w:spacing w:val="0"/>
          <w:position w:val="0"/>
          <w:sz w:val="44"/>
          <w:shd w:val="clear" w:fill="auto"/>
        </w:rPr>
      </w:pPr>
      <w:r>
        <w:rPr>
          <w:rFonts w:ascii="方正小标宋_GBK" w:hAnsi="方正小标宋_GBK" w:eastAsia="方正小标宋_GBK" w:cs="方正小标宋_GBK"/>
          <w:color w:val="000000" w:themeColor="text1"/>
          <w:spacing w:val="0"/>
          <w:position w:val="0"/>
          <w:sz w:val="44"/>
          <w:shd w:val="clear" w:fill="auto"/>
        </w:rPr>
        <w:t>2018年度新疆巴音郭楞蒙古自治州和静县残疾人联合会决算公开说明</w:t>
      </w: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2"/>
        <w:jc w:val="center"/>
        <w:rPr>
          <w:rFonts w:ascii="黑体" w:hAnsi="黑体" w:eastAsia="黑体" w:cs="黑体"/>
          <w:color w:val="auto"/>
          <w:spacing w:val="0"/>
          <w:position w:val="0"/>
          <w:sz w:val="32"/>
          <w:shd w:val="clear" w:fill="auto"/>
        </w:rPr>
      </w:pPr>
    </w:p>
    <w:p>
      <w:pPr>
        <w:spacing w:before="0" w:after="0" w:line="600" w:lineRule="auto"/>
        <w:ind w:left="0" w:right="0" w:firstLine="640"/>
        <w:jc w:val="center"/>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目录</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第一部分</w:t>
      </w:r>
      <w:r>
        <w:rPr>
          <w:rFonts w:hint="eastAsia" w:ascii="黑体" w:hAnsi="黑体" w:eastAsia="黑体" w:cs="黑体"/>
          <w:color w:val="auto"/>
          <w:spacing w:val="0"/>
          <w:position w:val="0"/>
          <w:sz w:val="32"/>
          <w:shd w:val="clear" w:fill="auto"/>
          <w:lang w:val="en-US" w:eastAsia="zh-CN"/>
        </w:rPr>
        <w:t xml:space="preserve"> </w:t>
      </w:r>
      <w:r>
        <w:rPr>
          <w:rFonts w:ascii="黑体" w:hAnsi="黑体" w:eastAsia="黑体" w:cs="黑体"/>
          <w:color w:val="auto"/>
          <w:spacing w:val="0"/>
          <w:position w:val="0"/>
          <w:sz w:val="32"/>
          <w:shd w:val="clear" w:fill="auto"/>
        </w:rPr>
        <w:t>部门单位概况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一、主要职能</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二、机构设置情况</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第二部分</w:t>
      </w:r>
      <w:r>
        <w:rPr>
          <w:rFonts w:hint="eastAsia" w:ascii="黑体" w:hAnsi="黑体" w:eastAsia="黑体" w:cs="黑体"/>
          <w:color w:val="auto"/>
          <w:spacing w:val="0"/>
          <w:position w:val="0"/>
          <w:sz w:val="32"/>
          <w:shd w:val="clear" w:fill="auto"/>
          <w:lang w:val="en-US" w:eastAsia="zh-CN"/>
        </w:rPr>
        <w:t xml:space="preserve"> </w:t>
      </w:r>
      <w:r>
        <w:rPr>
          <w:rFonts w:ascii="黑体" w:hAnsi="黑体" w:eastAsia="黑体" w:cs="黑体"/>
          <w:color w:val="auto"/>
          <w:spacing w:val="0"/>
          <w:position w:val="0"/>
          <w:sz w:val="32"/>
          <w:shd w:val="clear" w:fill="auto"/>
        </w:rPr>
        <w:t>部门决算情况说明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一、部门收支总体情况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（一）部门收入支出决算总体情况说明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（二）部门收入总体情况说明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（三）部门支出总体情况说明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二、部门财政拨款收支情况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（一）财政拨款收支总体情况说明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（二）一般公共预算收支决算情况说明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（三）政府性基金预算收支决算情况说明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三、部门结转结余情况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四、一般公共预算“三公”经费支出情况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五、机关运行经费支出情况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六、政府采购情况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七、其他重要事项的情况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（一）国有资产占用情况说明</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（二）预算绩效情况的说明</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第三部分</w:t>
      </w:r>
      <w:r>
        <w:rPr>
          <w:rFonts w:hint="eastAsia" w:ascii="黑体" w:hAnsi="黑体" w:eastAsia="黑体" w:cs="黑体"/>
          <w:color w:val="auto"/>
          <w:spacing w:val="0"/>
          <w:position w:val="0"/>
          <w:sz w:val="32"/>
          <w:shd w:val="clear" w:fill="auto"/>
          <w:lang w:val="en-US" w:eastAsia="zh-CN"/>
        </w:rPr>
        <w:t xml:space="preserve"> </w:t>
      </w:r>
      <w:r>
        <w:rPr>
          <w:rFonts w:ascii="黑体" w:hAnsi="黑体" w:eastAsia="黑体" w:cs="黑体"/>
          <w:color w:val="auto"/>
          <w:spacing w:val="0"/>
          <w:position w:val="0"/>
          <w:sz w:val="32"/>
          <w:shd w:val="clear" w:fill="auto"/>
        </w:rPr>
        <w:t>专业名词解释</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第四部分</w:t>
      </w:r>
      <w:r>
        <w:rPr>
          <w:rFonts w:hint="eastAsia" w:ascii="黑体" w:hAnsi="黑体" w:eastAsia="黑体" w:cs="黑体"/>
          <w:color w:val="auto"/>
          <w:spacing w:val="0"/>
          <w:position w:val="0"/>
          <w:sz w:val="32"/>
          <w:shd w:val="clear" w:fill="auto"/>
          <w:lang w:val="en-US" w:eastAsia="zh-CN"/>
        </w:rPr>
        <w:t xml:space="preserve"> </w:t>
      </w:r>
      <w:r>
        <w:rPr>
          <w:rFonts w:ascii="黑体" w:hAnsi="黑体" w:eastAsia="黑体" w:cs="黑体"/>
          <w:color w:val="auto"/>
          <w:spacing w:val="0"/>
          <w:position w:val="0"/>
          <w:sz w:val="32"/>
          <w:shd w:val="clear" w:fill="auto"/>
        </w:rPr>
        <w:t>部门决算公开的8张报表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《收入支出决算总表》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《收入决算表》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《支出决算表》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《财政拨款收入支出决算总表》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《一般公共预算财政拨款支出决算表》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《一般公共预算财政拨款基本支出决算表》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《一般公共预算财政拨款“三公”经费支出决算表》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《政府性基金预算财政拨款收入支出决算表》</w:t>
      </w:r>
    </w:p>
    <w:p>
      <w:pPr>
        <w:spacing w:before="0" w:after="0" w:line="600" w:lineRule="auto"/>
        <w:ind w:left="0" w:right="0" w:firstLine="640"/>
        <w:jc w:val="both"/>
        <w:rPr>
          <w:rFonts w:ascii="仿宋_GB2312" w:hAnsi="仿宋_GB2312" w:eastAsia="仿宋_GB2312" w:cs="仿宋_GB2312"/>
          <w:color w:val="auto"/>
          <w:spacing w:val="0"/>
          <w:position w:val="0"/>
          <w:sz w:val="32"/>
          <w:shd w:val="clear" w:fill="auto"/>
        </w:rPr>
      </w:pPr>
    </w:p>
    <w:p>
      <w:pPr>
        <w:spacing w:before="0" w:after="0" w:line="600" w:lineRule="auto"/>
        <w:ind w:left="0" w:right="0" w:firstLine="640"/>
        <w:jc w:val="both"/>
        <w:rPr>
          <w:rFonts w:ascii="仿宋_GB2312" w:hAnsi="仿宋_GB2312" w:eastAsia="仿宋_GB2312" w:cs="仿宋_GB2312"/>
          <w:color w:val="auto"/>
          <w:spacing w:val="0"/>
          <w:position w:val="0"/>
          <w:sz w:val="32"/>
          <w:shd w:val="clear" w:fill="auto"/>
        </w:rPr>
      </w:pPr>
    </w:p>
    <w:p>
      <w:pPr>
        <w:spacing w:before="0" w:after="0" w:line="600" w:lineRule="auto"/>
        <w:ind w:left="0" w:right="0" w:firstLine="640"/>
        <w:jc w:val="both"/>
        <w:rPr>
          <w:rFonts w:ascii="仿宋_GB2312" w:hAnsi="仿宋_GB2312" w:eastAsia="仿宋_GB2312" w:cs="仿宋_GB2312"/>
          <w:color w:val="auto"/>
          <w:spacing w:val="0"/>
          <w:position w:val="0"/>
          <w:sz w:val="32"/>
          <w:shd w:val="clear" w:fill="auto"/>
        </w:rPr>
      </w:pPr>
    </w:p>
    <w:p>
      <w:pPr>
        <w:spacing w:before="0" w:after="0" w:line="600" w:lineRule="auto"/>
        <w:ind w:left="0" w:right="0" w:firstLine="640"/>
        <w:jc w:val="both"/>
        <w:rPr>
          <w:rFonts w:ascii="仿宋_GB2312" w:hAnsi="仿宋_GB2312" w:eastAsia="仿宋_GB2312" w:cs="仿宋_GB2312"/>
          <w:color w:val="auto"/>
          <w:spacing w:val="0"/>
          <w:position w:val="0"/>
          <w:sz w:val="32"/>
          <w:shd w:val="clear" w:fill="auto"/>
        </w:rPr>
      </w:pPr>
    </w:p>
    <w:p>
      <w:pPr>
        <w:spacing w:before="0" w:after="0" w:line="600" w:lineRule="auto"/>
        <w:ind w:left="0" w:right="0" w:firstLine="640"/>
        <w:jc w:val="both"/>
        <w:rPr>
          <w:rFonts w:ascii="仿宋_GB2312" w:hAnsi="仿宋_GB2312" w:eastAsia="仿宋_GB2312" w:cs="仿宋_GB2312"/>
          <w:color w:val="auto"/>
          <w:spacing w:val="0"/>
          <w:position w:val="0"/>
          <w:sz w:val="32"/>
          <w:shd w:val="clear" w:fill="auto"/>
        </w:rPr>
      </w:pPr>
    </w:p>
    <w:p>
      <w:pPr>
        <w:spacing w:before="0" w:after="0" w:line="600" w:lineRule="auto"/>
        <w:ind w:left="0" w:right="0" w:firstLine="640"/>
        <w:jc w:val="both"/>
        <w:rPr>
          <w:rFonts w:hint="eastAsia" w:ascii="仿宋_GB2312" w:hAnsi="仿宋_GB2312" w:eastAsia="仿宋_GB2312" w:cs="仿宋_GB2312"/>
          <w:color w:val="auto"/>
          <w:spacing w:val="0"/>
          <w:position w:val="0"/>
          <w:sz w:val="32"/>
          <w:shd w:val="clear" w:fill="auto"/>
          <w:lang w:val="en-US" w:eastAsia="zh-CN"/>
        </w:rPr>
      </w:pPr>
      <w:r>
        <w:rPr>
          <w:rFonts w:hint="eastAsia" w:ascii="仿宋_GB2312" w:hAnsi="仿宋_GB2312" w:eastAsia="仿宋_GB2312" w:cs="仿宋_GB2312"/>
          <w:color w:val="auto"/>
          <w:spacing w:val="0"/>
          <w:position w:val="0"/>
          <w:sz w:val="32"/>
          <w:shd w:val="clear" w:fill="auto"/>
          <w:lang w:val="en-US" w:eastAsia="zh-CN"/>
        </w:rPr>
        <w:t xml:space="preserve"> </w:t>
      </w:r>
    </w:p>
    <w:p>
      <w:pPr>
        <w:spacing w:before="0" w:after="0" w:line="600" w:lineRule="auto"/>
        <w:ind w:left="0" w:right="0" w:firstLine="640"/>
        <w:jc w:val="both"/>
        <w:rPr>
          <w:rFonts w:hint="eastAsia" w:ascii="仿宋_GB2312" w:hAnsi="仿宋_GB2312" w:eastAsia="仿宋_GB2312" w:cs="仿宋_GB2312"/>
          <w:color w:val="auto"/>
          <w:spacing w:val="0"/>
          <w:position w:val="0"/>
          <w:sz w:val="32"/>
          <w:shd w:val="clear" w:fill="auto"/>
          <w:lang w:val="en-US" w:eastAsia="zh-CN"/>
        </w:rPr>
      </w:pPr>
    </w:p>
    <w:p>
      <w:pPr>
        <w:spacing w:before="0" w:after="0" w:line="600" w:lineRule="auto"/>
        <w:ind w:left="0" w:right="0" w:firstLine="640"/>
        <w:jc w:val="both"/>
        <w:rPr>
          <w:rFonts w:hint="eastAsia" w:ascii="仿宋_GB2312" w:hAnsi="仿宋_GB2312" w:eastAsia="仿宋_GB2312" w:cs="仿宋_GB2312"/>
          <w:color w:val="auto"/>
          <w:spacing w:val="0"/>
          <w:position w:val="0"/>
          <w:sz w:val="32"/>
          <w:shd w:val="clear" w:fill="auto"/>
          <w:lang w:val="en-US" w:eastAsia="zh-CN"/>
        </w:rPr>
      </w:pPr>
    </w:p>
    <w:p>
      <w:pPr>
        <w:spacing w:before="0" w:after="0" w:line="600" w:lineRule="auto"/>
        <w:ind w:left="0" w:right="0" w:firstLine="640"/>
        <w:jc w:val="both"/>
        <w:rPr>
          <w:rFonts w:hint="eastAsia" w:ascii="仿宋_GB2312" w:hAnsi="仿宋_GB2312" w:eastAsia="仿宋_GB2312" w:cs="仿宋_GB2312"/>
          <w:color w:val="auto"/>
          <w:spacing w:val="0"/>
          <w:position w:val="0"/>
          <w:sz w:val="32"/>
          <w:shd w:val="clear" w:fill="auto"/>
          <w:lang w:val="en-US" w:eastAsia="zh-CN"/>
        </w:rPr>
      </w:pPr>
    </w:p>
    <w:p>
      <w:pPr>
        <w:spacing w:before="0" w:after="0" w:line="600" w:lineRule="auto"/>
        <w:ind w:left="0" w:right="0" w:firstLine="640"/>
        <w:jc w:val="both"/>
        <w:rPr>
          <w:rFonts w:hint="eastAsia" w:ascii="仿宋_GB2312" w:hAnsi="仿宋_GB2312" w:eastAsia="仿宋_GB2312" w:cs="仿宋_GB2312"/>
          <w:color w:val="auto"/>
          <w:spacing w:val="0"/>
          <w:position w:val="0"/>
          <w:sz w:val="32"/>
          <w:shd w:val="clear" w:fill="auto"/>
          <w:lang w:val="en-US" w:eastAsia="zh-CN"/>
        </w:rPr>
      </w:pPr>
    </w:p>
    <w:p>
      <w:pPr>
        <w:spacing w:before="0" w:after="0" w:line="600" w:lineRule="auto"/>
        <w:ind w:left="0" w:right="0" w:firstLine="640"/>
        <w:jc w:val="center"/>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第一部分部门单位概况</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一、主要职能</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新疆巴音郭楞蒙古自治州和静县残疾人联合会是中国残疾人联合会的地方组织，是将残疾人自身代表组织、社会福利团体和事业管理机构融为一体的综合性残疾人事业团体。具有代表、服务、管理三种职能：代表残疾人共同利益，维护残疾人合法权益；团结教育残疾人，为残疾人服务；履行法律赋予的职责，承担县人民政府委托的任务，管理和发展残疾人事业。其主要职责是：</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1、宣传贯彻《中华人民共和国残疾人保障法》，维护残疾人在政治、经济、文化、社会和家庭生活等方面同其他公民平等的权利，密切联系残疾人，听取残疾人意见，反映残疾人需求，全心全意为残疾人服务。</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2、团结、教育残疾人遵守法律，履行应尽义务，发扬乐观进取精神，自尊、自信、自立，为全面建设小康社会，推进现代化建设贡献力量。</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3、沟通政府、社会与残疾人之间的联系，宣传残疾人事业，动员社会理解、尊重、关心帮助残疾人。</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4、开展和促进残疾人康复、教育、扶贫、劳动就业、文化体育、社会保障和残疾预防等工作，改善残疾人参与社会生活的环境和条件。</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5、参与研究，制定和实施残疾人事业的政策、规划和计划、发挥综合、协调、咨询、服务作用，对有关领域的工作进行管理和指导。</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6、承担县人民政府残疾人工作协调委员会的日常工作。</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7、管理和发放《中华人民共和国残疾人证》。</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8、管理和指导各类残疾人群众组织，开展为发展残疾人事业的募捐、助残活动。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9、承办县党委、县人民政府交办的其他工作。</w:t>
      </w:r>
    </w:p>
    <w:p>
      <w:pPr>
        <w:spacing w:before="0" w:after="0" w:line="60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二、机构设置情况</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从决算单位构成看，新疆巴音郭楞蒙古自治州和静县残疾人联合会部门决算包括：新疆巴音郭楞蒙古自治州静县残疾人联合会部门本级决算、所属单位决算等。</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纳入新新疆巴音郭楞蒙古自治州和静县残疾人联合会2018年部门决算编制范围的单位名单见下表：</w:t>
      </w:r>
    </w:p>
    <w:p>
      <w:pPr>
        <w:keepNext w:val="0"/>
        <w:keepLines w:val="0"/>
        <w:pageBreakBefore w:val="0"/>
        <w:kinsoku/>
        <w:wordWrap/>
        <w:overflowPunct/>
        <w:topLinePunct w:val="0"/>
        <w:bidi w:val="0"/>
        <w:snapToGrid/>
        <w:spacing w:line="600" w:lineRule="atLeast"/>
        <w:ind w:firstLine="640" w:firstLineChars="200"/>
        <w:textAlignment w:val="auto"/>
        <w:outlineLvl w:val="9"/>
        <w:rPr>
          <w:rFonts w:hint="eastAsia" w:ascii="仿宋_GB2312" w:eastAsia="仿宋_GB2312" w:hAnsiTheme="minorHAnsi" w:cstheme="minorBidi"/>
          <w:color w:val="auto"/>
          <w:sz w:val="32"/>
          <w:szCs w:val="32"/>
        </w:rPr>
      </w:pPr>
    </w:p>
    <w:tbl>
      <w:tblPr>
        <w:tblStyle w:val="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94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exact"/>
        </w:trPr>
        <w:tc>
          <w:tcPr>
            <w:tcW w:w="1101" w:type="dxa"/>
            <w:noWrap w:val="0"/>
            <w:vAlign w:val="center"/>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序号</w:t>
            </w:r>
          </w:p>
        </w:tc>
        <w:tc>
          <w:tcPr>
            <w:tcW w:w="6945" w:type="dxa"/>
            <w:noWrap w:val="0"/>
            <w:vAlign w:val="center"/>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单位名称</w:t>
            </w:r>
          </w:p>
        </w:tc>
        <w:tc>
          <w:tcPr>
            <w:tcW w:w="1418" w:type="dxa"/>
            <w:noWrap w:val="0"/>
            <w:vAlign w:val="center"/>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trPr>
        <w:tc>
          <w:tcPr>
            <w:tcW w:w="1101" w:type="dxa"/>
            <w:noWrap w:val="0"/>
            <w:vAlign w:val="center"/>
          </w:tcPr>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w:t>
            </w:r>
          </w:p>
        </w:tc>
        <w:tc>
          <w:tcPr>
            <w:tcW w:w="6945" w:type="dxa"/>
            <w:noWrap w:val="0"/>
            <w:vAlign w:val="center"/>
          </w:tcPr>
          <w:p>
            <w:pPr>
              <w:spacing w:line="600" w:lineRule="exact"/>
              <w:rPr>
                <w:rFonts w:hint="eastAsia" w:ascii="仿宋_GB2312" w:eastAsia="仿宋_GB2312"/>
                <w:color w:val="000000"/>
                <w:sz w:val="32"/>
                <w:szCs w:val="32"/>
              </w:rPr>
            </w:pPr>
            <w:r>
              <w:rPr>
                <w:rFonts w:hint="eastAsia" w:ascii="仿宋_GB2312" w:eastAsia="仿宋_GB2312" w:hAnsiTheme="minorHAnsi" w:cstheme="minorBidi"/>
                <w:color w:val="auto"/>
                <w:sz w:val="32"/>
                <w:szCs w:val="32"/>
              </w:rPr>
              <w:t>新疆巴音郭楞蒙古自治州和静县残疾人联合会</w:t>
            </w:r>
          </w:p>
        </w:tc>
        <w:tc>
          <w:tcPr>
            <w:tcW w:w="1418" w:type="dxa"/>
            <w:noWrap w:val="0"/>
            <w:vAlign w:val="center"/>
          </w:tcPr>
          <w:p>
            <w:pPr>
              <w:spacing w:line="600" w:lineRule="exact"/>
              <w:ind w:firstLine="640" w:firstLineChars="200"/>
              <w:rPr>
                <w:rFonts w:hint="eastAsia" w:ascii="仿宋_GB2312" w:eastAsia="仿宋_GB2312"/>
                <w:color w:val="000000"/>
                <w:sz w:val="32"/>
                <w:szCs w:val="32"/>
              </w:rPr>
            </w:pPr>
          </w:p>
        </w:tc>
      </w:tr>
    </w:tbl>
    <w:p>
      <w:pPr>
        <w:spacing w:before="0" w:after="0" w:line="600" w:lineRule="auto"/>
        <w:ind w:left="0" w:right="0" w:firstLine="0"/>
        <w:jc w:val="center"/>
        <w:rPr>
          <w:rFonts w:ascii="黑体" w:hAnsi="黑体" w:eastAsia="黑体" w:cs="黑体"/>
          <w:color w:val="auto"/>
          <w:spacing w:val="0"/>
          <w:position w:val="0"/>
          <w:sz w:val="32"/>
          <w:shd w:val="clear" w:fill="auto"/>
        </w:rPr>
      </w:pPr>
    </w:p>
    <w:p>
      <w:pPr>
        <w:spacing w:before="0" w:after="0" w:line="600" w:lineRule="auto"/>
        <w:ind w:left="0" w:right="0" w:firstLine="0"/>
        <w:jc w:val="center"/>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第二部分 部门决算情况说明</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一、部门收支总体情况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2018年度收入292.77万元</w:t>
      </w:r>
      <w:r>
        <w:rPr>
          <w:rFonts w:hint="eastAsia" w:ascii="仿宋_GB2312" w:eastAsia="仿宋_GB2312" w:cstheme="minorBidi"/>
          <w:color w:val="auto"/>
          <w:sz w:val="32"/>
          <w:szCs w:val="32"/>
          <w:highlight w:val="none"/>
          <w:lang w:eastAsia="zh-CN"/>
        </w:rPr>
        <w:t>，</w:t>
      </w:r>
      <w:r>
        <w:rPr>
          <w:rFonts w:hint="eastAsia" w:ascii="仿宋_GB2312" w:eastAsia="仿宋_GB2312" w:hAnsiTheme="minorHAnsi" w:cstheme="minorBidi"/>
          <w:color w:val="auto"/>
          <w:sz w:val="32"/>
          <w:szCs w:val="32"/>
        </w:rPr>
        <w:t>与上年相比，减少33.73万元，降低10.33%，增减变化主要原因是：厉行节约、压缩开支。支出292.77万元</w:t>
      </w:r>
      <w:r>
        <w:rPr>
          <w:rFonts w:hint="eastAsia" w:ascii="仿宋_GB2312" w:eastAsia="仿宋_GB2312" w:cstheme="minorBidi"/>
          <w:color w:val="auto"/>
          <w:sz w:val="32"/>
          <w:szCs w:val="32"/>
          <w:highlight w:val="none"/>
          <w:lang w:eastAsia="zh-CN"/>
        </w:rPr>
        <w:t>，</w:t>
      </w:r>
      <w:r>
        <w:rPr>
          <w:rFonts w:hint="eastAsia" w:ascii="仿宋_GB2312" w:eastAsia="仿宋_GB2312" w:hAnsiTheme="minorHAnsi" w:cstheme="minorBidi"/>
          <w:color w:val="auto"/>
          <w:sz w:val="32"/>
          <w:szCs w:val="32"/>
        </w:rPr>
        <w:t>与上年相比，减少33.73万元，降低10.33%，增减变化主要原因是：厉行节约、压缩开支。结余0万元，与上年相比，减少0万元，降低0%。增减变化主要原因是：我单位本年度无结余。</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（二）部门收入总体情况说明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本年收入合计292.77万元，其中：财政拨款收入292.77万元，占100%；上级补助收入0万元，占0%；事业收入0万元，占0%；经营收入0万元，占0%；附属单位缴款0万元，占0%；其他收入0万元，占0%。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与年初预算数相比情况：本年收入年初预算数138.32万元，决算数292.77万元，预决算差异率111.6%，差异主要原因政策性调资，上级专项资金增加。</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（三）部门支出总体情况说明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本年支出合计292.77万元，其中：基本支出260.39万元，占88.94%；项目支出32.38万元，占11.06%；上缴上级支出0万元，占0%；经营支出0万元，占0%；对附属单位补助支出0万元，占0%。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与年初预算数相比情况：本年支出年初预算数138.32万元，决算数292.77万元，预决算差异率111.6%，差异主要原因政策性调资，上级专项资金增加。</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二、部门财政拨款收支情况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（一）财政拨款收支总体情况说明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2018年度财政拨款收入292.77万元，与上年相比，减少33.73万元，减少</w:t>
      </w:r>
      <w:r>
        <w:rPr>
          <w:rFonts w:hint="eastAsia" w:ascii="仿宋_GB2312" w:eastAsia="仿宋_GB2312" w:hAnsiTheme="minorHAnsi" w:cstheme="minorBidi"/>
          <w:color w:val="auto"/>
          <w:sz w:val="32"/>
          <w:szCs w:val="32"/>
          <w:highlight w:val="none"/>
        </w:rPr>
        <w:t>-</w:t>
      </w:r>
      <w:r>
        <w:rPr>
          <w:rFonts w:hint="eastAsia" w:ascii="仿宋_GB2312" w:eastAsia="仿宋_GB2312" w:hAnsiTheme="minorHAnsi" w:cstheme="minorBidi"/>
          <w:color w:val="auto"/>
          <w:sz w:val="32"/>
          <w:szCs w:val="32"/>
        </w:rPr>
        <w:t>10.33%万元，减少</w:t>
      </w:r>
      <w:r>
        <w:rPr>
          <w:rFonts w:hint="eastAsia" w:ascii="仿宋_GB2312" w:eastAsia="仿宋_GB2312" w:cstheme="minorBidi"/>
          <w:color w:val="auto"/>
          <w:sz w:val="32"/>
          <w:szCs w:val="32"/>
          <w:highlight w:val="none"/>
          <w:lang w:eastAsia="zh-CN"/>
        </w:rPr>
        <w:t>的</w:t>
      </w:r>
      <w:r>
        <w:rPr>
          <w:rFonts w:hint="eastAsia" w:ascii="仿宋_GB2312" w:eastAsia="仿宋_GB2312" w:hAnsiTheme="minorHAnsi" w:cstheme="minorBidi"/>
          <w:color w:val="auto"/>
          <w:sz w:val="32"/>
          <w:szCs w:val="32"/>
        </w:rPr>
        <w:t>主要原因是：厉行节约、压缩开支。财政拨款支出292.77万元，与上年相比，减少33.73万元，降低10.33%。减少的主要原因是：厉行节约、压缩开支。其中：基本支出260.39万元，项目支出32.38万元。财政拨款结转结余0万元，与上年相比，减少0万元，减少0%。减少的主要原因是：我单位本年度无财政拨款结转结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财政拨款收入年初预算数138.32万元，决算数292.77万元，预决算差异率111.6%，差异主要原因是政策性调资，上级专项资金收入的增加。财政拨款支出年初预算数138.32万元，决算数292.77万元，预决算差异率111.6%，差异主要原因是政策性调资，上级专项资金增加。</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（二）一般公共预算收支决算情况说明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一般公共预算财政拨款收入267.22万元。与上年相比，减少29.39万元，减少9.91%。减少的主要原因是：厉行节约、压缩开支。一般公共预算财政拨款支出267.22万元。与上年相比，减少29.39万元，减少9.91%。减少的主要原因是：厉行节约、压缩开支。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按功能分类科目（按类级科目公开），201（类）一般公共服务支出6.83万元，208（类）社会保障和就业支出244.12万元，210（类）医疗卫生与计划生育支出8.83万元，221（类）住房保障支出7.44万元。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按经济分类科目（按类级科目公开），301（类）工资福利支出127.93万元，302（类）商品和服务支出19.77万元，303（类）对个人和家庭补助支出119.52万元。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一般公共预算财政拨款收入年初预算数138.32万元，决算数267.22万元，预决算差异率93%，差异主要原因是政策性调资，上级专项资金到位。一般公共预算财政拨款支出年初预算数138.32万元，决算数267.22万元，预决算差异率93%，差异主要原因是政策性调资，上级专项资金到位。</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（三）政府性基金预算收支决算情况说明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政府性基金预算财政拨款收入25.55万元，与上年相比，减少4.34万元，降低14.52%。增减变化的主要原因是：政府性基金彩票公益金减少。政府性基金预算支出0万元，与上年相比，减少4.34万元，降低14.52%。增减变化的主要原因是：政府性基金彩票公益金减少。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按功能分类科目（按类级科目公开），229（类）其他支出25.55万元。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按经济分类科目（按类级科目公开），303（类）对个人和家庭补助支出25.55万元。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与年初预算数相比情况：政府性基金预算财政拨款收入年初预算数0万元，决算数25.55万元，预决算差异率</w:t>
      </w:r>
      <w:r>
        <w:rPr>
          <w:rFonts w:hint="eastAsia" w:ascii="仿宋_GB2312" w:eastAsia="仿宋_GB2312" w:cstheme="minorBidi"/>
          <w:color w:val="auto"/>
          <w:sz w:val="32"/>
          <w:szCs w:val="32"/>
          <w:lang w:val="en-US" w:eastAsia="zh-CN"/>
        </w:rPr>
        <w:t>10</w:t>
      </w:r>
      <w:r>
        <w:rPr>
          <w:rFonts w:hint="eastAsia" w:ascii="仿宋_GB2312" w:eastAsia="仿宋_GB2312" w:hAnsiTheme="minorHAnsi" w:cstheme="minorBidi"/>
          <w:color w:val="auto"/>
          <w:sz w:val="32"/>
          <w:szCs w:val="32"/>
        </w:rPr>
        <w:t>0%，差异主要原因是政府性基金预算拨款未纳入本年预算。政府性基金预算财政拨款支出年初预算数0万元，决算数25.55万元，预决算差异率</w:t>
      </w:r>
      <w:r>
        <w:rPr>
          <w:rFonts w:hint="eastAsia" w:ascii="仿宋_GB2312" w:eastAsia="仿宋_GB2312" w:cstheme="minorBidi"/>
          <w:color w:val="auto"/>
          <w:sz w:val="32"/>
          <w:szCs w:val="32"/>
          <w:lang w:val="en-US" w:eastAsia="zh-CN"/>
        </w:rPr>
        <w:t>10</w:t>
      </w:r>
      <w:r>
        <w:rPr>
          <w:rFonts w:hint="eastAsia" w:ascii="仿宋_GB2312" w:eastAsia="仿宋_GB2312" w:hAnsiTheme="minorHAnsi" w:cstheme="minorBidi"/>
          <w:color w:val="auto"/>
          <w:sz w:val="32"/>
          <w:szCs w:val="32"/>
        </w:rPr>
        <w:t>0%，差异主要原因是政府性基金未纳入年初预算。</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40" w:leftChars="0" w:right="0" w:rightChars="0"/>
        <w:jc w:val="both"/>
        <w:textAlignment w:val="auto"/>
        <w:rPr>
          <w:rFonts w:ascii="黑体" w:hAnsi="黑体" w:eastAsia="黑体" w:cs="黑体"/>
          <w:color w:val="auto"/>
          <w:spacing w:val="0"/>
          <w:position w:val="0"/>
          <w:sz w:val="32"/>
          <w:shd w:val="clear" w:fill="auto"/>
        </w:rPr>
      </w:pPr>
      <w:r>
        <w:rPr>
          <w:rFonts w:hint="eastAsia" w:ascii="黑体" w:hAnsi="黑体" w:eastAsia="黑体" w:cs="黑体"/>
          <w:color w:val="auto"/>
          <w:spacing w:val="0"/>
          <w:position w:val="0"/>
          <w:sz w:val="32"/>
          <w:shd w:val="clear" w:fill="auto"/>
          <w:lang w:eastAsia="zh-CN"/>
        </w:rPr>
        <w:t>三、</w:t>
      </w:r>
      <w:r>
        <w:rPr>
          <w:rFonts w:ascii="黑体" w:hAnsi="黑体" w:eastAsia="黑体" w:cs="黑体"/>
          <w:color w:val="auto"/>
          <w:spacing w:val="0"/>
          <w:position w:val="0"/>
          <w:sz w:val="32"/>
          <w:shd w:val="clear" w:fill="auto"/>
        </w:rPr>
        <w:t>部门结转结余情况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年末结转结余0万元。与上年相比，减少0万元，降低0%。其中财政拨款结转结余0万元。与上年相比，减少0万元，降低0%。</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一般公共预算“三公”经费支出决算0.60万元，比上年减少0.01万元，降低1.79%，减少原因是认真贯彻落实中央八项规定、自治区十条规定的要求，严格财务管理、压缩“三公”经费。其中，因公出国（境）费支出0万元，占0%，比上年减少0万元，降低0%，减少原因是我单位本年度无因公出国（境）费支出。公务用车购置及运行维护费支出0.6023万元，占100%，比上年减少0万元，降低0%，减少原因是严格按照八项规定，压缩公务用车购置及运行维护费，与上年相同；公务接待费支出0万元，占0%，比上年减少0.01万元，降低100%，减少原因是我单位本年度无公务接待费支出。具体情况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因公出国（境）费支出0万元。新疆巴音郭楞蒙古自治州和静县残疾人联合会全年使用一般公共预算财政拨款安排的出国（境）团组0个，累计0人次。开支内容包括：无因公出国（境）费支出安排。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公务用车购置及运行维护费0.60万元</w:t>
      </w:r>
      <w:r>
        <w:rPr>
          <w:rFonts w:hint="eastAsia" w:ascii="仿宋_GB2312" w:eastAsia="仿宋_GB2312" w:cstheme="minorBidi"/>
          <w:color w:val="auto"/>
          <w:sz w:val="32"/>
          <w:szCs w:val="32"/>
          <w:highlight w:val="none"/>
          <w:lang w:eastAsia="zh-CN"/>
        </w:rPr>
        <w:t>，</w:t>
      </w:r>
      <w:r>
        <w:rPr>
          <w:rFonts w:hint="eastAsia" w:ascii="仿宋_GB2312" w:eastAsia="仿宋_GB2312" w:hAnsiTheme="minorHAnsi" w:cstheme="minorBidi"/>
          <w:color w:val="auto"/>
          <w:sz w:val="32"/>
          <w:szCs w:val="32"/>
        </w:rPr>
        <w:t>其中，公务用车购置0万元，公务用车运行维护费0.60万元。主要用于车辆燃油、保险、维修和维护、过路费等。单位一般公共财政拨款安排的公务用车购置量0辆，保有量为1辆。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公务接待费0万元。具体是：国内公务接待支出0万元，主要是无公务接待费等。和静县残疾人联合会单位国内公务接待0批次，0人次。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与年初预算数相比情况：一般公共预算“三公”经费支出年初预算数3万元，决算数0.60万元，预决算差异率</w:t>
      </w:r>
      <w:r>
        <w:rPr>
          <w:rFonts w:hint="eastAsia" w:ascii="仿宋_GB2312" w:eastAsia="仿宋_GB2312" w:hAnsiTheme="minorHAnsi" w:cstheme="minorBidi"/>
          <w:color w:val="auto"/>
          <w:sz w:val="32"/>
          <w:szCs w:val="32"/>
          <w:highlight w:val="none"/>
        </w:rPr>
        <w:t>-</w:t>
      </w:r>
      <w:r>
        <w:rPr>
          <w:rFonts w:hint="eastAsia" w:ascii="仿宋_GB2312" w:eastAsia="仿宋_GB2312" w:hAnsiTheme="minorHAnsi" w:cstheme="minorBidi"/>
          <w:color w:val="auto"/>
          <w:sz w:val="32"/>
          <w:szCs w:val="32"/>
        </w:rPr>
        <w:t>79%，差异主要原因是严格按照八项规定，减压“三公”经费。其中：因公出国（境）费预算数0万元，决算数0万元，预决算差异率0%，差异主要原因我单位本年度无因公出国（境）费支出，公务用车购置预算数0万元，决算数0万元，预决算差异率0%，差异主要原因我单位本年度无公务用车购置；公务用车运行费预算数3万元，决算数0.60万元，预决算差异率</w:t>
      </w:r>
      <w:r>
        <w:rPr>
          <w:rFonts w:hint="eastAsia" w:ascii="仿宋_GB2312" w:eastAsia="仿宋_GB2312" w:hAnsiTheme="minorHAnsi" w:cstheme="minorBidi"/>
          <w:color w:val="auto"/>
          <w:sz w:val="32"/>
          <w:szCs w:val="32"/>
          <w:highlight w:val="none"/>
        </w:rPr>
        <w:t>-</w:t>
      </w:r>
      <w:r>
        <w:rPr>
          <w:rFonts w:hint="eastAsia" w:ascii="仿宋_GB2312" w:eastAsia="仿宋_GB2312" w:hAnsiTheme="minorHAnsi" w:cstheme="minorBidi"/>
          <w:color w:val="auto"/>
          <w:sz w:val="32"/>
          <w:szCs w:val="32"/>
        </w:rPr>
        <w:t>79%，差异主要原因是我单位本年度无公务用车运行费；公务接待费预算数0.08万元，决算数0万元，预决算差异率</w:t>
      </w:r>
      <w:bookmarkStart w:id="0" w:name="_GoBack"/>
      <w:r>
        <w:rPr>
          <w:rFonts w:hint="eastAsia" w:ascii="仿宋_GB2312" w:eastAsia="仿宋_GB2312" w:hAnsiTheme="minorHAnsi" w:cstheme="minorBidi"/>
          <w:color w:val="auto"/>
          <w:sz w:val="32"/>
          <w:szCs w:val="32"/>
          <w:highlight w:val="none"/>
        </w:rPr>
        <w:t>-</w:t>
      </w:r>
      <w:bookmarkEnd w:id="0"/>
      <w:r>
        <w:rPr>
          <w:rFonts w:hint="eastAsia" w:ascii="仿宋_GB2312" w:eastAsia="仿宋_GB2312" w:hAnsiTheme="minorHAnsi" w:cstheme="minorBidi"/>
          <w:color w:val="auto"/>
          <w:sz w:val="32"/>
          <w:szCs w:val="32"/>
        </w:rPr>
        <w:t>100%，差异主要原因严格按照八项规定，减压公务接待费。</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五、机关运行经费支出情况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新疆巴音郭楞蒙古自治州和静县2018年度残疾人联合会（行政单位）机关运行经费支出12.95万元，比上年减少1.61万元，下降11.06%，主要原因是节约开支，精简经费支出。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六、政府采购情况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2018年度政府采购支出总额0万元，其中：政府采购货物支出0万元、政府采购工程支出0万元、政府采购服务支出0万元。</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七、其他重要事项的情况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（一）国有资产占用情况说明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hAnsiTheme="minorHAnsi" w:cstheme="minorBidi"/>
          <w:color w:val="auto"/>
          <w:sz w:val="32"/>
          <w:szCs w:val="32"/>
        </w:rPr>
      </w:pPr>
      <w:r>
        <w:rPr>
          <w:rFonts w:hint="eastAsia" w:ascii="仿宋_GB2312" w:eastAsia="仿宋_GB2312" w:hAnsiTheme="minorHAnsi" w:cstheme="minorBidi"/>
          <w:color w:val="auto"/>
          <w:sz w:val="32"/>
          <w:szCs w:val="32"/>
        </w:rPr>
        <w:t>截至2018年12月31日，本单位共有车辆1辆，价值39.56万元，其中：副部（省）级及以上领导用车0辆、主要领导干部用车1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both"/>
        <w:textAlignment w:val="auto"/>
        <w:rPr>
          <w:rFonts w:ascii="楷体_GB2312" w:hAnsi="楷体_GB2312" w:eastAsia="楷体_GB2312" w:cs="楷体_GB2312"/>
          <w:b/>
          <w:color w:val="auto"/>
          <w:spacing w:val="0"/>
          <w:position w:val="0"/>
          <w:sz w:val="32"/>
          <w:shd w:val="clear" w:fill="auto"/>
        </w:rPr>
      </w:pPr>
      <w:r>
        <w:rPr>
          <w:rFonts w:ascii="楷体_GB2312" w:hAnsi="楷体_GB2312" w:eastAsia="楷体_GB2312" w:cs="楷体_GB2312"/>
          <w:b/>
          <w:color w:val="auto"/>
          <w:spacing w:val="0"/>
          <w:position w:val="0"/>
          <w:sz w:val="32"/>
          <w:shd w:val="clear" w:fill="auto"/>
        </w:rPr>
        <w:t>（二）预算绩效情况的说明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2018年度，本部门单位预算绩效自评情况：自述有关预算绩效管理和绩效自评开展情况。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“爱心天使”</w:t>
      </w:r>
      <w:r>
        <w:rPr>
          <w:rFonts w:hint="eastAsia" w:ascii="仿宋_GB2312" w:eastAsia="仿宋_GB2312"/>
          <w:color w:val="auto"/>
          <w:sz w:val="32"/>
          <w:szCs w:val="32"/>
        </w:rPr>
        <w:t>项目绩效自评综述：根据年初设定的绩效目标，残疾人康复项目绩效自评得分为97分。项目全年预算数为</w:t>
      </w:r>
      <w:r>
        <w:rPr>
          <w:rFonts w:hint="eastAsia" w:ascii="仿宋_GB2312" w:eastAsia="仿宋_GB2312"/>
          <w:color w:val="auto"/>
          <w:sz w:val="32"/>
          <w:szCs w:val="32"/>
          <w:lang w:val="en-US" w:eastAsia="zh-CN"/>
        </w:rPr>
        <w:t>2.885</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2.885</w:t>
      </w:r>
      <w:r>
        <w:rPr>
          <w:rFonts w:hint="eastAsia" w:ascii="仿宋_GB2312" w:eastAsia="仿宋_GB2312"/>
          <w:color w:val="auto"/>
          <w:sz w:val="32"/>
          <w:szCs w:val="32"/>
        </w:rPr>
        <w:t>万元，完成预算的100%。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主要产出和效果：一是保障和改善残疾人基本生活，提高残疾人康复保障水平；二是</w:t>
      </w:r>
      <w:r>
        <w:rPr>
          <w:rFonts w:hint="eastAsia" w:ascii="仿宋_GB2312" w:eastAsia="仿宋_GB2312" w:cs="仿宋_GB2312"/>
          <w:color w:val="auto"/>
          <w:sz w:val="32"/>
          <w:szCs w:val="32"/>
        </w:rPr>
        <w:t>加大残疾人康复等工作力度，使更多的残疾人享受到国家优惠政策，切实增强我县残疾人获得感、满足感、幸福感</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发现的问题及原因：</w:t>
      </w:r>
      <w:r>
        <w:rPr>
          <w:rFonts w:hint="eastAsia" w:ascii="仿宋_GB2312" w:eastAsia="仿宋_GB2312" w:cs="仿宋_GB2312"/>
          <w:color w:val="auto"/>
          <w:sz w:val="32"/>
          <w:szCs w:val="32"/>
        </w:rPr>
        <w:t>在各项专项资金发放的同时，能否增加一点工作经费或出台一些相关政策，以便基层残联依法依规操作，否则专项资金越多基层残联的工作量就越大，经济负担就越重就难以适应现行的财政</w:t>
      </w:r>
      <w:r>
        <w:rPr>
          <w:rFonts w:hint="eastAsia" w:ascii="仿宋_GB2312" w:eastAsia="仿宋_GB2312" w:cs="仿宋_GB2312"/>
          <w:color w:val="auto"/>
          <w:sz w:val="32"/>
          <w:szCs w:val="32"/>
          <w:highlight w:val="none"/>
          <w:lang w:eastAsia="zh-CN"/>
        </w:rPr>
        <w:t>报账</w:t>
      </w:r>
      <w:r>
        <w:rPr>
          <w:rFonts w:hint="eastAsia" w:ascii="仿宋_GB2312" w:eastAsia="仿宋_GB2312" w:cs="仿宋_GB2312"/>
          <w:color w:val="auto"/>
          <w:sz w:val="32"/>
          <w:szCs w:val="32"/>
        </w:rPr>
        <w:t>机制</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s="仿宋_GB2312"/>
          <w:color w:val="auto"/>
          <w:sz w:val="32"/>
          <w:szCs w:val="32"/>
        </w:rPr>
        <w:t>逐年增加各项康复经费</w:t>
      </w:r>
      <w:r>
        <w:rPr>
          <w:rFonts w:hint="eastAsia" w:ascii="仿宋_GB2312" w:eastAsia="仿宋_GB2312"/>
          <w:color w:val="auto"/>
          <w:sz w:val="32"/>
          <w:szCs w:val="32"/>
        </w:rPr>
        <w:t>；二是</w:t>
      </w:r>
      <w:r>
        <w:rPr>
          <w:rFonts w:hint="eastAsia" w:ascii="仿宋_GB2312" w:eastAsia="仿宋_GB2312" w:cs="仿宋_GB2312"/>
          <w:color w:val="auto"/>
          <w:sz w:val="32"/>
          <w:szCs w:val="32"/>
        </w:rPr>
        <w:t>要扩面，使更多的残疾人能享受到优惠政策。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后附有关项目绩效自评报告及自评表。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残疾人康复项目绩效自评综述：根据年初设定的绩效目标，残疾人康复项目绩效自评得分为97分。项目全年预算数为25.55万元，执行数为25.55万元，完成预算的100%。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主要产出和效果：一是保障和改善残疾人基本生活，提高残疾人康复保障水平；二是</w:t>
      </w:r>
      <w:r>
        <w:rPr>
          <w:rFonts w:hint="eastAsia" w:ascii="仿宋_GB2312" w:eastAsia="仿宋_GB2312" w:cs="仿宋_GB2312"/>
          <w:color w:val="auto"/>
          <w:sz w:val="32"/>
          <w:szCs w:val="32"/>
        </w:rPr>
        <w:t>加大残疾人康复等工作力度，使更多的残疾人享受到国家优惠政策，切实增强我县残疾人获得感、满足感、幸福感</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发现的问题及原因：</w:t>
      </w:r>
      <w:r>
        <w:rPr>
          <w:rFonts w:hint="eastAsia" w:ascii="仿宋_GB2312" w:eastAsia="仿宋_GB2312" w:cs="仿宋_GB2312"/>
          <w:color w:val="auto"/>
          <w:sz w:val="32"/>
          <w:szCs w:val="32"/>
        </w:rPr>
        <w:t>在各项专项资金发放的同时，能否增加一点工作经费或出台一些相关政策，以便基层残联依法依规操作，否则专项资金越多基层残联的工作量就越大，经济负担就越重就难以适应现行的财政</w:t>
      </w:r>
      <w:r>
        <w:rPr>
          <w:rFonts w:hint="eastAsia" w:ascii="仿宋_GB2312" w:eastAsia="仿宋_GB2312" w:cs="仿宋_GB2312"/>
          <w:color w:val="auto"/>
          <w:sz w:val="32"/>
          <w:szCs w:val="32"/>
          <w:highlight w:val="none"/>
          <w:lang w:eastAsia="zh-CN"/>
        </w:rPr>
        <w:t>报账</w:t>
      </w:r>
      <w:r>
        <w:rPr>
          <w:rFonts w:hint="eastAsia" w:ascii="仿宋_GB2312" w:eastAsia="仿宋_GB2312" w:cs="仿宋_GB2312"/>
          <w:color w:val="auto"/>
          <w:sz w:val="32"/>
          <w:szCs w:val="32"/>
        </w:rPr>
        <w:t>机制</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s="仿宋_GB2312"/>
          <w:color w:val="auto"/>
          <w:sz w:val="32"/>
          <w:szCs w:val="32"/>
        </w:rPr>
        <w:t>逐年增加各项康复经费</w:t>
      </w:r>
      <w:r>
        <w:rPr>
          <w:rFonts w:hint="eastAsia" w:ascii="仿宋_GB2312" w:eastAsia="仿宋_GB2312"/>
          <w:color w:val="auto"/>
          <w:sz w:val="32"/>
          <w:szCs w:val="32"/>
        </w:rPr>
        <w:t>；二是</w:t>
      </w:r>
      <w:r>
        <w:rPr>
          <w:rFonts w:hint="eastAsia" w:ascii="仿宋_GB2312" w:eastAsia="仿宋_GB2312" w:cs="仿宋_GB2312"/>
          <w:color w:val="auto"/>
          <w:sz w:val="32"/>
          <w:szCs w:val="32"/>
        </w:rPr>
        <w:t>要扩面，使更多的残疾人能享受到优惠政策。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后附有关项目绩效自评报告及自评表。</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center"/>
        <w:textAlignment w:val="auto"/>
        <w:rPr>
          <w:rFonts w:ascii="黑体" w:hAnsi="黑体" w:eastAsia="黑体" w:cs="黑体"/>
          <w:b/>
          <w:color w:val="auto"/>
          <w:spacing w:val="0"/>
          <w:position w:val="0"/>
          <w:sz w:val="32"/>
          <w:shd w:val="clear" w:fill="auto"/>
        </w:rPr>
      </w:pPr>
      <w:r>
        <w:rPr>
          <w:rFonts w:ascii="黑体" w:hAnsi="黑体" w:eastAsia="黑体" w:cs="黑体"/>
          <w:b/>
          <w:color w:val="auto"/>
          <w:spacing w:val="0"/>
          <w:position w:val="0"/>
          <w:sz w:val="32"/>
          <w:shd w:val="clear" w:fill="auto"/>
        </w:rPr>
        <w:t>第三部分专业名词解释</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3"/>
        <w:jc w:val="center"/>
        <w:textAlignment w:val="auto"/>
        <w:rPr>
          <w:rFonts w:ascii="黑体" w:hAnsi="黑体" w:eastAsia="黑体" w:cs="黑体"/>
          <w:b/>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财政拨款收入：指同级财政当年拨付的资金。</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事业收入：指事业单位开展专业业务活动及其辅助活动所取得的收入。</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附属单位缴款：指事业单位附属的独立核算单位按有关规定上缴的收入。</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其他收入：指除上述“财政拨款收入”、“事业收入”、“经营收入”、“附属单位缴款”等之外取得的收入。</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结余分配：反映单位当年结余的分配情况。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对附属单位补助支出：指事业单位发生的用非财政预算资金对附属单位的补助支出。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本单位支出功能分类说明：208（类）05（款）01（项）是指：归口管理的行政单位离退休，208（类）05（款）05（项）是指： 机关事业单位基本养老保险缴费，</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208（类）11（款）04 （项）是指：残疾人康复，208（类）11（款）05 （项）是指：残疾人就业和扶贫，208（类）11（款）99（项）是指：其他残疾人事业，210（类）11（款）01（项）是指：行政单位医疗，210（类）11（款）02（项）是指：事业单位医疗</w:t>
      </w:r>
      <w:r>
        <w:rPr>
          <w:rFonts w:hint="eastAsia" w:ascii="仿宋_GB2312" w:hAnsi="仿宋_GB2312" w:eastAsia="仿宋_GB2312" w:cs="仿宋_GB2312"/>
          <w:color w:val="auto"/>
          <w:spacing w:val="0"/>
          <w:position w:val="0"/>
          <w:sz w:val="32"/>
          <w:shd w:val="clear" w:fill="auto"/>
          <w:lang w:eastAsia="zh-CN"/>
        </w:rPr>
        <w:t>，</w:t>
      </w:r>
      <w:r>
        <w:rPr>
          <w:rFonts w:ascii="仿宋_GB2312" w:hAnsi="仿宋_GB2312" w:eastAsia="仿宋_GB2312" w:cs="仿宋_GB2312"/>
          <w:color w:val="auto"/>
          <w:spacing w:val="0"/>
          <w:position w:val="0"/>
          <w:sz w:val="32"/>
          <w:shd w:val="clear" w:fill="auto"/>
        </w:rPr>
        <w:t>210（类）11（款）03 （项）是指：公务员医疗补助，221（类）02（款）01（项）是指：住房公积金</w:t>
      </w:r>
      <w:r>
        <w:rPr>
          <w:rFonts w:hint="eastAsia" w:ascii="仿宋_GB2312" w:hAnsi="仿宋_GB2312" w:eastAsia="仿宋_GB2312" w:cs="仿宋_GB2312"/>
          <w:color w:val="auto"/>
          <w:spacing w:val="0"/>
          <w:position w:val="0"/>
          <w:sz w:val="32"/>
          <w:shd w:val="clear" w:fill="auto"/>
          <w:lang w:eastAsia="zh-CN"/>
        </w:rPr>
        <w:t>，</w:t>
      </w:r>
      <w:r>
        <w:rPr>
          <w:rFonts w:ascii="仿宋_GB2312" w:hAnsi="仿宋_GB2312" w:eastAsia="仿宋_GB2312" w:cs="仿宋_GB2312"/>
          <w:color w:val="auto"/>
          <w:spacing w:val="0"/>
          <w:position w:val="0"/>
          <w:sz w:val="32"/>
          <w:shd w:val="clear" w:fill="auto"/>
        </w:rPr>
        <w:t xml:space="preserve"> 229（类）60（款）06（项）是指：用于残疾人事业的彩票公益金支出。</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center"/>
        <w:textAlignment w:val="auto"/>
        <w:rPr>
          <w:rFonts w:ascii="黑体" w:hAnsi="黑体" w:eastAsia="黑体" w:cs="黑体"/>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center"/>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第四部分部门决算公开的8张报表（见附表）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一、《收入支出决算总表》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二、《收入决算表》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三、《支出决算表》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四、《财政拨款收入支出决算总表》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五、《一般公共预算财政拨款支出决算表》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六、《一般公共预算财政拨款基本支出决算表》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七、《一般公共预算财政拨款“三公”经费支出决算表》</w:t>
      </w:r>
    </w:p>
    <w:p>
      <w:pPr>
        <w:spacing w:line="60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八、《政府性基金预算财政拨款收入支出决算表》</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both"/>
        <w:textAlignment w:val="auto"/>
        <w:rPr>
          <w:rFonts w:ascii="仿宋_GB2312" w:hAnsi="仿宋_GB2312" w:eastAsia="仿宋_GB2312" w:cs="仿宋_GB2312"/>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center"/>
        <w:textAlignment w:val="auto"/>
        <w:rPr>
          <w:rFonts w:ascii="仿宋_GB2312" w:hAnsi="仿宋_GB2312" w:eastAsia="仿宋_GB2312" w:cs="仿宋_GB2312"/>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640"/>
        <w:jc w:val="center"/>
        <w:textAlignment w:val="auto"/>
        <w:rPr>
          <w:rFonts w:ascii="仿宋_GB2312" w:hAnsi="仿宋_GB2312" w:eastAsia="仿宋_GB2312" w:cs="仿宋_GB2312"/>
          <w:color w:val="auto"/>
          <w:spacing w:val="0"/>
          <w:position w:val="0"/>
          <w:sz w:val="32"/>
          <w:shd w:val="clear" w:fill="auto"/>
        </w:rPr>
      </w:pP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_GB2312">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14740DFE"/>
    <w:rsid w:val="16DD4883"/>
    <w:rsid w:val="248269E4"/>
    <w:rsid w:val="45640DD4"/>
    <w:rsid w:val="521613F8"/>
    <w:rsid w:val="69A91CB3"/>
    <w:rsid w:val="6B804AA4"/>
    <w:rsid w:val="6E040879"/>
    <w:rsid w:val="7F505D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Office_11.1.0.10132_F1E327BC-269C-435d-A152-05C5408002CA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2021-06-02T03:55:00Z</dcterms:created>
  <dc:creator>Administrator</dc:creator>
  <cp:lastModifiedBy>郝军震</cp:lastModifiedBy>
  <dcterms:modified xsi:type="dcterms:W3CDTF">2021-06-03T10:40:05Z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