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700" w:lineRule="exact"/>
        <w:jc w:val="center"/>
        <w:rPr>
          <w:rFonts w:hint="eastAsia" w:ascii="方正小标宋_GBK" w:hAnsi="华文中宋" w:eastAsia="方正小标宋_GBK" w:cs="宋体"/>
          <w:b/>
          <w:kern w:val="0"/>
          <w:sz w:val="48"/>
          <w:szCs w:val="48"/>
          <w:u w:color="FFFFFF" w:themeColor="background1"/>
        </w:rPr>
      </w:pPr>
      <w:r>
        <w:rPr>
          <w:rFonts w:hint="eastAsia" w:ascii="方正小标宋_GBK" w:hAnsi="华文中宋" w:eastAsia="方正小标宋_GBK" w:cs="宋体"/>
          <w:b/>
          <w:kern w:val="0"/>
          <w:sz w:val="48"/>
          <w:szCs w:val="48"/>
          <w:u w:val="single" w:color="FFFFFF" w:themeColor="background1"/>
        </w:rPr>
        <w:t>新疆巴州和静县和静县政治协商会议和静县委员会办公室</w:t>
      </w:r>
      <w:r>
        <w:rPr>
          <w:rFonts w:hint="eastAsia" w:ascii="方正小标宋_GBK" w:hAnsi="华文中宋" w:eastAsia="方正小标宋_GBK" w:cs="宋体"/>
          <w:b/>
          <w:kern w:val="0"/>
          <w:sz w:val="48"/>
          <w:szCs w:val="48"/>
          <w:u w:color="FFFFFF" w:themeColor="background1"/>
        </w:rPr>
        <w:t>项目支出绩效自评</w:t>
      </w:r>
    </w:p>
    <w:p>
      <w:pPr>
        <w:spacing w:line="700" w:lineRule="exact"/>
        <w:jc w:val="center"/>
        <w:rPr>
          <w:rFonts w:ascii="方正小标宋_GBK" w:hAnsi="华文中宋" w:eastAsia="方正小标宋_GBK" w:cs="宋体"/>
          <w:b/>
          <w:kern w:val="0"/>
          <w:sz w:val="48"/>
          <w:szCs w:val="48"/>
          <w:u w:val="single" w:color="FFFFFF" w:themeColor="background1"/>
        </w:rPr>
      </w:pPr>
      <w:bookmarkStart w:id="0" w:name="_GoBack"/>
      <w:bookmarkEnd w:id="0"/>
      <w:r>
        <w:rPr>
          <w:rFonts w:hint="eastAsia" w:ascii="方正小标宋_GBK" w:hAnsi="华文中宋" w:eastAsia="方正小标宋_GBK" w:cs="宋体"/>
          <w:b/>
          <w:kern w:val="0"/>
          <w:sz w:val="48"/>
          <w:szCs w:val="48"/>
          <w:u w:color="FFFFFF" w:themeColor="background1"/>
        </w:rPr>
        <w:t>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项目名称：政协委员活动经费</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实施单位（公章）：和静县政治协商会议和静县委员会办公室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主管部门（公章）：和静县政治协商会议和静县委员会办公室</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项目负责人（签章）：何蜀疆</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一、项目概况</w:t>
      </w:r>
    </w:p>
    <w:p>
      <w:pPr>
        <w:spacing w:line="540" w:lineRule="exact"/>
        <w:ind w:firstLine="567"/>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（一）项目单位基本情况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1、</w:t>
      </w:r>
      <w:r>
        <w:rPr>
          <w:rFonts w:hint="eastAsia" w:ascii="仿宋_GB2312" w:hAnsi="仿宋_GB2312" w:eastAsia="仿宋_GB2312" w:cs="仿宋_GB2312"/>
          <w:color w:val="000000" w:themeColor="text1"/>
          <w:sz w:val="32"/>
          <w:szCs w:val="32"/>
        </w:rPr>
        <w:t>项目背景：</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和静县政治协商会议和静县委员会办公室属于行政机关，下设1个科室，是：办公室。全县有政协委员134名。</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办公室在职人员编制数8人，其中：行政编制5人，行政工勤编制3人；事业编制共0人（其中:参照公务员管理事业编制0人，财政补助人员0人）。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办公室在职人员15人，其中：行政实有15人，事业实有0人。离休人员2人，退休人员27人，其他人员0人，遗属人员0人。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val="en-US" w:eastAsia="zh-CN"/>
        </w:rPr>
        <w:t>2、</w:t>
      </w:r>
      <w:r>
        <w:rPr>
          <w:rFonts w:hint="eastAsia" w:ascii="仿宋_GB2312" w:hAnsi="仿宋_GB2312" w:eastAsia="仿宋_GB2312" w:cs="仿宋_GB2312"/>
          <w:color w:val="000000" w:themeColor="text1"/>
          <w:sz w:val="32"/>
          <w:szCs w:val="32"/>
        </w:rPr>
        <w:t>基本情况</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rPr>
        <w:t>人民政协的主要职能是政治协商、民主监督、参政议政。这三项主要职能是各党派团体、各族各界人士在中国政治体制中参与国是、发挥作用的重要内容和基本形式，体现了人民政协的性质和特点，是人民政协区别于其他政治组织的重要标志。</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1</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政治协商 是对国家和地方的大政方针以及政治、经济、文化和社会生活中的重要问题在决策之前进行协商和就决策执行过程中的重要问题进行协商。</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2</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民主监督 是对国家宪法、法律和法规的实施，重大方针政策的贯彻执行、国家机关及其工作人员的工作，通过建议和批评进行监督。</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3</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参政议政是对政治、经济、文化和社会生活中的重要问题以及人民群众普遍关心的问题，开展调查研究，反映社情民意，进行协商讨论。</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sz w:val="32"/>
          <w:szCs w:val="32"/>
        </w:rPr>
      </w:pP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4</w:t>
      </w:r>
      <w:r>
        <w:rPr>
          <w:rFonts w:hint="eastAsia" w:ascii="仿宋_GB2312" w:hAnsi="仿宋_GB2312" w:eastAsia="仿宋_GB2312" w:cs="仿宋_GB2312"/>
          <w:color w:val="000000" w:themeColor="text1"/>
          <w:sz w:val="32"/>
          <w:szCs w:val="32"/>
          <w:lang w:eastAsia="zh-CN"/>
        </w:rPr>
        <w:t>）、</w:t>
      </w:r>
      <w:r>
        <w:rPr>
          <w:rFonts w:hint="eastAsia" w:ascii="仿宋_GB2312" w:hAnsi="仿宋_GB2312" w:eastAsia="仿宋_GB2312" w:cs="仿宋_GB2312"/>
          <w:color w:val="000000" w:themeColor="text1"/>
          <w:sz w:val="32"/>
          <w:szCs w:val="32"/>
        </w:rPr>
        <w:t>通过调研报告、提案、建议案或其他形式，向中国共产党和国家机关提出意见和建议。</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（二）项目预算绩效目标设定情况</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项目内容：按照县委的工作要求，紧紧围绕社会稳定和长治久安总目标通过委员视察，调研写出对县委政府有建设性的调研报告。</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Style w:val="18"/>
          <w:rFonts w:hint="eastAsia" w:ascii="仿宋_GB2312" w:hAnsi="仿宋_GB2312" w:eastAsia="仿宋_GB2312" w:cs="仿宋_GB2312"/>
          <w:b w:val="0"/>
          <w:spacing w:val="-4"/>
          <w:kern w:val="2"/>
          <w:sz w:val="32"/>
          <w:szCs w:val="32"/>
        </w:rPr>
      </w:pPr>
      <w:r>
        <w:rPr>
          <w:rFonts w:hint="eastAsia" w:ascii="仿宋_GB2312" w:hAnsi="仿宋_GB2312" w:eastAsia="仿宋_GB2312" w:cs="仿宋_GB2312"/>
          <w:color w:val="000000" w:themeColor="text1"/>
          <w:kern w:val="2"/>
          <w:sz w:val="32"/>
          <w:szCs w:val="32"/>
          <w:lang w:val="en-US" w:eastAsia="zh-CN" w:bidi="ar-SA"/>
        </w:rPr>
        <w:t>涉及的范围；全县政协委员等</w:t>
      </w:r>
      <w:r>
        <w:rPr>
          <w:rStyle w:val="18"/>
          <w:rFonts w:hint="eastAsia" w:ascii="仿宋_GB2312" w:hAnsi="仿宋_GB2312" w:eastAsia="仿宋_GB2312" w:cs="仿宋_GB2312"/>
          <w:b w:val="0"/>
          <w:spacing w:val="-4"/>
          <w:kern w:val="2"/>
          <w:sz w:val="32"/>
          <w:szCs w:val="32"/>
        </w:rPr>
        <w:t>。</w:t>
      </w:r>
    </w:p>
    <w:p>
      <w:pPr>
        <w:spacing w:line="540" w:lineRule="exact"/>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二、项目资金使用及管理情况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（一）项目资金安排落实、总投入等情况分析</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项目安排财政资金</w:t>
      </w:r>
      <w:r>
        <w:rPr>
          <w:rFonts w:hint="eastAsia" w:ascii="仿宋_GB2312" w:hAnsi="仿宋_GB2312" w:cs="仿宋_GB2312"/>
          <w:color w:val="000000" w:themeColor="text1"/>
          <w:kern w:val="2"/>
          <w:sz w:val="32"/>
          <w:szCs w:val="32"/>
          <w:lang w:val="en-US" w:eastAsia="zh-CN" w:bidi="ar-SA"/>
        </w:rPr>
        <w:t>10.5</w:t>
      </w:r>
      <w:r>
        <w:rPr>
          <w:rFonts w:hint="eastAsia" w:ascii="仿宋_GB2312" w:hAnsi="仿宋_GB2312" w:eastAsia="仿宋_GB2312" w:cs="仿宋_GB2312"/>
          <w:color w:val="000000" w:themeColor="text1"/>
          <w:kern w:val="2"/>
          <w:sz w:val="32"/>
          <w:szCs w:val="32"/>
          <w:lang w:val="en-US" w:eastAsia="zh-CN" w:bidi="ar-SA"/>
        </w:rPr>
        <w:t>万元，其中上级财政拨款0万元，为本级财政安排</w:t>
      </w:r>
      <w:r>
        <w:rPr>
          <w:rFonts w:hint="eastAsia" w:ascii="仿宋_GB2312" w:hAnsi="仿宋_GB2312" w:cs="仿宋_GB2312"/>
          <w:color w:val="000000" w:themeColor="text1"/>
          <w:kern w:val="2"/>
          <w:sz w:val="32"/>
          <w:szCs w:val="32"/>
          <w:lang w:val="en-US" w:eastAsia="zh-CN" w:bidi="ar-SA"/>
        </w:rPr>
        <w:t>10.5</w:t>
      </w:r>
      <w:r>
        <w:rPr>
          <w:rFonts w:hint="eastAsia" w:ascii="仿宋_GB2312" w:hAnsi="仿宋_GB2312" w:eastAsia="仿宋_GB2312" w:cs="仿宋_GB2312"/>
          <w:color w:val="000000" w:themeColor="text1"/>
          <w:kern w:val="2"/>
          <w:sz w:val="32"/>
          <w:szCs w:val="32"/>
          <w:lang w:val="en-US" w:eastAsia="zh-CN" w:bidi="ar-SA"/>
        </w:rPr>
        <w:t>万元，财政资金以外用于项目的其他资金0万元，自筹资金0万元。资金来源为2018年年初预算。</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（二）项目资金实际使用情况分析</w:t>
      </w:r>
    </w:p>
    <w:p>
      <w:pPr>
        <w:spacing w:line="540" w:lineRule="exact"/>
        <w:ind w:firstLine="579" w:firstLineChars="181"/>
        <w:rPr>
          <w:rFonts w:hint="eastAsia" w:ascii="仿宋_GB2312" w:hAnsi="仿宋_GB2312" w:eastAsia="仿宋_GB2312" w:cs="仿宋_GB2312"/>
          <w:color w:val="000000" w:themeColor="text1"/>
          <w:kern w:val="2"/>
          <w:sz w:val="32"/>
          <w:szCs w:val="32"/>
          <w:lang w:val="en-US" w:eastAsia="zh-CN" w:bidi="ar-SA"/>
        </w:rPr>
      </w:pPr>
      <w:r>
        <w:rPr>
          <w:rFonts w:hint="eastAsia" w:ascii="仿宋_GB2312" w:hAnsi="仿宋_GB2312" w:eastAsia="仿宋_GB2312" w:cs="仿宋_GB2312"/>
          <w:color w:val="000000" w:themeColor="text1"/>
          <w:kern w:val="2"/>
          <w:sz w:val="32"/>
          <w:szCs w:val="32"/>
          <w:lang w:val="en-US" w:eastAsia="zh-CN" w:bidi="ar-SA"/>
        </w:rPr>
        <w:t>本项目资金实际到位10.5万元，到位率100%，实际执行10.5万元，执行率100%。</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（三）项目资金管理情况分析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40" w:firstLineChars="200"/>
        <w:jc w:val="both"/>
        <w:textAlignment w:val="auto"/>
        <w:outlineLvl w:val="9"/>
        <w:rPr>
          <w:rStyle w:val="18"/>
          <w:rFonts w:hint="eastAsia" w:ascii="仿宋_GB2312" w:hAnsi="仿宋_GB2312" w:eastAsia="仿宋_GB2312" w:cs="仿宋_GB2312"/>
          <w:b w:val="0"/>
          <w:sz w:val="32"/>
          <w:szCs w:val="32"/>
        </w:rPr>
      </w:pPr>
      <w:r>
        <w:rPr>
          <w:rFonts w:hint="eastAsia" w:ascii="仿宋_GB2312" w:hAnsi="仿宋_GB2312" w:eastAsia="仿宋_GB2312" w:cs="仿宋_GB2312"/>
          <w:sz w:val="32"/>
          <w:szCs w:val="32"/>
        </w:rPr>
        <w:t>本项目实际执行资金总计</w:t>
      </w:r>
      <w:r>
        <w:rPr>
          <w:rFonts w:hint="eastAsia" w:ascii="仿宋_GB2312" w:hAnsi="仿宋_GB2312" w:eastAsia="仿宋_GB2312" w:cs="仿宋_GB2312"/>
          <w:sz w:val="32"/>
          <w:szCs w:val="32"/>
          <w:lang w:val="en-US" w:eastAsia="zh-CN"/>
        </w:rPr>
        <w:t>10.5</w:t>
      </w:r>
      <w:r>
        <w:rPr>
          <w:rFonts w:hint="eastAsia" w:ascii="仿宋_GB2312" w:hAnsi="仿宋_GB2312" w:eastAsia="仿宋_GB2312" w:cs="仿宋_GB2312"/>
          <w:sz w:val="32"/>
          <w:szCs w:val="32"/>
        </w:rPr>
        <w:t>万元</w:t>
      </w:r>
      <w:r>
        <w:rPr>
          <w:rStyle w:val="18"/>
          <w:rFonts w:hint="eastAsia" w:ascii="仿宋_GB2312" w:hAnsi="仿宋_GB2312" w:eastAsia="仿宋_GB2312" w:cs="仿宋_GB2312"/>
          <w:b w:val="0"/>
          <w:sz w:val="32"/>
          <w:szCs w:val="32"/>
        </w:rPr>
        <w:t>，项目资金管理制度与办法如下：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（1）严格执行资金使用申请程序。首先由具体负责人员提供相关方案、人员名单和经费预算，再由分管领导和财务人员审核，上报主席办公会讨论，最后落实；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（2）严格按照资金使用标准切实执行资金报账制度，确保资金使用、资金管理符合财务制度规定，发挥其最大使用效益。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624"/>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（3）按照中央和自治区相关政策、制度，管好、用好项目管理费，不得浪费，更不能违法违规使用。对违法违规使用资金的，财政局将反馈至纪律监委，进行追责问责。层层把关共同完成工作。</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三、项目组织实施情况</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（一）项目组织情况分析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根据年初预算安排，由和静县政协办公室按照各项资金分配表具体执行，项目责任单位为项目安排财政资金</w:t>
      </w:r>
      <w:r>
        <w:rPr>
          <w:rStyle w:val="18"/>
          <w:rFonts w:hint="eastAsia" w:ascii="仿宋_GB2312" w:hAnsi="仿宋_GB2312" w:eastAsia="仿宋_GB2312" w:cs="仿宋_GB2312"/>
          <w:b w:val="0"/>
          <w:spacing w:val="-4"/>
          <w:sz w:val="32"/>
          <w:szCs w:val="32"/>
          <w:lang w:val="en-US" w:eastAsia="zh-CN"/>
        </w:rPr>
        <w:t>10.5</w:t>
      </w:r>
      <w:r>
        <w:rPr>
          <w:rStyle w:val="18"/>
          <w:rFonts w:hint="eastAsia" w:ascii="仿宋_GB2312" w:hAnsi="仿宋_GB2312" w:eastAsia="仿宋_GB2312" w:cs="仿宋_GB2312"/>
          <w:b w:val="0"/>
          <w:spacing w:val="-4"/>
          <w:sz w:val="32"/>
          <w:szCs w:val="32"/>
        </w:rPr>
        <w:t>万元，其中上级财政拨款</w:t>
      </w:r>
      <w:r>
        <w:rPr>
          <w:rStyle w:val="18"/>
          <w:rFonts w:hint="eastAsia" w:ascii="仿宋_GB2312" w:hAnsi="仿宋_GB2312" w:eastAsia="仿宋_GB2312" w:cs="仿宋_GB2312"/>
          <w:b w:val="0"/>
          <w:spacing w:val="-4"/>
          <w:sz w:val="32"/>
          <w:szCs w:val="32"/>
          <w:lang w:val="en-US" w:eastAsia="zh-CN"/>
        </w:rPr>
        <w:t>10.5</w:t>
      </w:r>
      <w:r>
        <w:rPr>
          <w:rStyle w:val="18"/>
          <w:rFonts w:hint="eastAsia" w:ascii="仿宋_GB2312" w:hAnsi="仿宋_GB2312" w:eastAsia="仿宋_GB2312" w:cs="仿宋_GB2312"/>
          <w:b w:val="0"/>
          <w:spacing w:val="-4"/>
          <w:sz w:val="32"/>
          <w:szCs w:val="32"/>
        </w:rPr>
        <w:t>万元，为本级财政安排</w:t>
      </w:r>
      <w:r>
        <w:rPr>
          <w:rStyle w:val="18"/>
          <w:rFonts w:hint="eastAsia" w:ascii="仿宋_GB2312" w:hAnsi="仿宋_GB2312" w:eastAsia="仿宋_GB2312" w:cs="仿宋_GB2312"/>
          <w:b w:val="0"/>
          <w:spacing w:val="-4"/>
          <w:sz w:val="32"/>
          <w:szCs w:val="32"/>
          <w:lang w:val="en-US" w:eastAsia="zh-CN"/>
        </w:rPr>
        <w:t>0</w:t>
      </w:r>
      <w:r>
        <w:rPr>
          <w:rStyle w:val="18"/>
          <w:rFonts w:hint="eastAsia" w:ascii="仿宋_GB2312" w:hAnsi="仿宋_GB2312" w:eastAsia="仿宋_GB2312" w:cs="仿宋_GB2312"/>
          <w:b w:val="0"/>
          <w:spacing w:val="-4"/>
          <w:sz w:val="32"/>
          <w:szCs w:val="32"/>
        </w:rPr>
        <w:t>万元，财政资金以外用于项目的其他资金0万元，自筹资金0万元。实施过程中没有进行调整，已完成验收。</w:t>
      </w:r>
    </w:p>
    <w:p>
      <w:pPr>
        <w:spacing w:line="540" w:lineRule="exact"/>
        <w:ind w:firstLine="567" w:firstLineChars="181"/>
        <w:rPr>
          <w:rStyle w:val="18"/>
          <w:rFonts w:hint="eastAsia" w:ascii="楷体_GB2312" w:hAnsi="楷体_GB2312" w:eastAsia="楷体_GB2312" w:cs="楷体_GB2312"/>
          <w:spacing w:val="-4"/>
          <w:sz w:val="32"/>
          <w:szCs w:val="32"/>
        </w:rPr>
      </w:pPr>
      <w:r>
        <w:rPr>
          <w:rStyle w:val="18"/>
          <w:rFonts w:hint="eastAsia" w:ascii="楷体_GB2312" w:hAnsi="楷体_GB2312" w:eastAsia="楷体_GB2312" w:cs="楷体_GB2312"/>
          <w:spacing w:val="-4"/>
          <w:sz w:val="32"/>
          <w:szCs w:val="32"/>
        </w:rPr>
        <w:t>（二）项目管理情况分析</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Style w:val="18"/>
          <w:rFonts w:hint="eastAsia" w:ascii="仿宋_GB2312" w:hAnsi="仿宋_GB2312" w:eastAsia="仿宋_GB2312" w:cs="仿宋_GB2312"/>
          <w:b w:val="0"/>
          <w:spacing w:val="-4"/>
          <w:sz w:val="32"/>
          <w:szCs w:val="32"/>
        </w:rPr>
      </w:pPr>
      <w:r>
        <w:rPr>
          <w:rStyle w:val="18"/>
          <w:rFonts w:hint="eastAsia" w:ascii="仿宋_GB2312" w:hAnsi="仿宋_GB2312" w:eastAsia="仿宋_GB2312" w:cs="仿宋_GB2312"/>
          <w:b w:val="0"/>
          <w:spacing w:val="-4"/>
          <w:sz w:val="32"/>
          <w:szCs w:val="32"/>
        </w:rPr>
        <w:t>我单位按照《和静县委政协办公室资金管理办法》和《和静县政协办公室项目管理制度》，严格执行资金使用申请程序、资金使用各项标准以及资金使用报账制度。首先由具体负责人员提供相关方案、人员名单和经费预算，再由分管领导和财务人员审核，上报主席办公会讨论，会议通过后进行落实，以确保资金使用和管理符合财务制度规定，发挥项目资金最大使用效益。</w:t>
      </w:r>
    </w:p>
    <w:p>
      <w:pPr>
        <w:spacing w:line="540" w:lineRule="exact"/>
        <w:ind w:firstLine="640"/>
        <w:rPr>
          <w:rStyle w:val="18"/>
          <w:rFonts w:hint="eastAsia" w:ascii="黑体" w:hAnsi="黑体" w:eastAsia="黑体" w:cs="黑体"/>
          <w:sz w:val="32"/>
          <w:szCs w:val="32"/>
        </w:rPr>
      </w:pPr>
      <w:r>
        <w:rPr>
          <w:rStyle w:val="18"/>
          <w:rFonts w:hint="eastAsia" w:ascii="黑体" w:hAnsi="黑体" w:eastAsia="黑体" w:cs="黑体"/>
          <w:b w:val="0"/>
          <w:spacing w:val="-4"/>
          <w:sz w:val="32"/>
          <w:szCs w:val="32"/>
        </w:rPr>
        <w:t>四、项目绩效情况</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（一）项目绩效目标完成情况分析</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按照县委的工作要求，紧紧围绕社会稳定和长治久安总目标通过委员视察，调研写出对县委政府有建设性的调研报告。</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（二）项目绩效目标未完成原因分析</w:t>
      </w:r>
    </w:p>
    <w:p>
      <w:pPr>
        <w:spacing w:line="540" w:lineRule="exact"/>
        <w:ind w:firstLine="640"/>
        <w:rPr>
          <w:rFonts w:hint="eastAsia" w:ascii="仿宋_GB2312" w:hAnsi="仿宋_GB2312" w:eastAsia="仿宋_GB2312" w:cs="仿宋_GB2312"/>
          <w:spacing w:val="-4"/>
          <w:sz w:val="32"/>
          <w:szCs w:val="32"/>
        </w:rPr>
      </w:pPr>
      <w:r>
        <w:rPr>
          <w:rFonts w:hint="eastAsia" w:ascii="仿宋_GB2312" w:hAnsi="仿宋_GB2312" w:eastAsia="仿宋_GB2312" w:cs="仿宋_GB2312"/>
          <w:spacing w:val="-4"/>
          <w:sz w:val="32"/>
          <w:szCs w:val="32"/>
        </w:rPr>
        <w:t>该项目绩效目标均已完成。</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五、其他需要说明的问题</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（一）后续工作计划</w:t>
      </w:r>
    </w:p>
    <w:p>
      <w:pPr>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24"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pacing w:val="-4"/>
          <w:sz w:val="32"/>
          <w:szCs w:val="32"/>
        </w:rPr>
        <w:t>今后的工作中，我们继续加大工作力度，</w:t>
      </w:r>
      <w:r>
        <w:rPr>
          <w:rFonts w:hint="eastAsia" w:ascii="仿宋_GB2312" w:hAnsi="仿宋_GB2312" w:eastAsia="仿宋_GB2312" w:cs="仿宋_GB2312"/>
          <w:sz w:val="32"/>
          <w:szCs w:val="32"/>
        </w:rPr>
        <w:t>按照县委的工作要求，紧紧围绕社会稳定和长治久安总目标通过委员视察，调研写出对县委政府有建设性的调研报告。</w:t>
      </w:r>
    </w:p>
    <w:p>
      <w:pPr>
        <w:spacing w:line="540" w:lineRule="exact"/>
        <w:ind w:firstLine="567" w:firstLineChars="181"/>
        <w:rPr>
          <w:rFonts w:hint="eastAsia" w:ascii="楷体_GB2312" w:hAnsi="楷体_GB2312" w:eastAsia="楷体_GB2312" w:cs="楷体_GB2312"/>
          <w:b/>
          <w:spacing w:val="-4"/>
          <w:sz w:val="32"/>
          <w:szCs w:val="32"/>
        </w:rPr>
      </w:pPr>
      <w:r>
        <w:rPr>
          <w:rFonts w:hint="eastAsia" w:ascii="楷体_GB2312" w:hAnsi="楷体_GB2312" w:eastAsia="楷体_GB2312" w:cs="楷体_GB2312"/>
          <w:b/>
          <w:spacing w:val="-4"/>
          <w:sz w:val="32"/>
          <w:szCs w:val="32"/>
        </w:rPr>
        <w:t>（二）主要经验及做法、存在问题和建议</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1、预算编制科学性：由于去年未编制绩效目标，所以无法考证预算与绩效目标是否匹配，该项不得分。</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2、财务监控有效性：财务监控相关机制未制定，但是有相应的程序。</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3、项目管理制度健全性：项目管理制度没有建立，不健全，项目实施按照规定执行。</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4、政策宣传情况：采取了政策宣传手段，但是为建立清晰的宣传渠道，未留下宣传后凭证，后续会加强宣传力度。</w:t>
      </w:r>
    </w:p>
    <w:p>
      <w:pPr>
        <w:pStyle w:val="47"/>
        <w:keepNext w:val="0"/>
        <w:keepLines w:val="0"/>
        <w:pageBreakBefore w:val="0"/>
        <w:widowControl w:val="0"/>
        <w:kinsoku/>
        <w:wordWrap/>
        <w:overflowPunct/>
        <w:topLinePunct w:val="0"/>
        <w:autoSpaceDE/>
        <w:autoSpaceDN/>
        <w:bidi w:val="0"/>
        <w:adjustRightInd/>
        <w:snapToGrid/>
        <w:spacing w:line="600" w:lineRule="exact"/>
        <w:ind w:left="0" w:leftChars="0"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5、长效管理制度健全性：未对项目建立长效管理制度、相应的管理机制，后续需要加强。</w:t>
      </w:r>
    </w:p>
    <w:p>
      <w:pPr>
        <w:spacing w:line="540" w:lineRule="exact"/>
        <w:ind w:firstLine="640"/>
        <w:rPr>
          <w:rStyle w:val="18"/>
          <w:rFonts w:hint="eastAsia" w:ascii="黑体" w:hAnsi="黑体" w:eastAsia="黑体" w:cs="黑体"/>
          <w:b w:val="0"/>
          <w:spacing w:val="-4"/>
          <w:sz w:val="32"/>
          <w:szCs w:val="32"/>
        </w:rPr>
      </w:pPr>
      <w:r>
        <w:rPr>
          <w:rStyle w:val="18"/>
          <w:rFonts w:hint="eastAsia" w:ascii="黑体" w:hAnsi="黑体" w:eastAsia="黑体" w:cs="黑体"/>
          <w:b w:val="0"/>
          <w:spacing w:val="-4"/>
          <w:sz w:val="32"/>
          <w:szCs w:val="32"/>
        </w:rPr>
        <w:t>六、项目评价工作情况</w:t>
      </w:r>
    </w:p>
    <w:p>
      <w:pPr>
        <w:keepNext w:val="0"/>
        <w:keepLines w:val="0"/>
        <w:pageBreakBefore w:val="0"/>
        <w:widowControl w:val="0"/>
        <w:kinsoku/>
        <w:wordWrap/>
        <w:overflowPunct/>
        <w:topLinePunct w:val="0"/>
        <w:autoSpaceDE/>
        <w:autoSpaceDN/>
        <w:bidi w:val="0"/>
        <w:adjustRightInd/>
        <w:snapToGrid/>
        <w:spacing w:line="600"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按照县委的工作要求，紧紧围绕社会稳定和长治久安总目标通过委员视察，调研写出对县委政府有建设性的调研报告。</w:t>
      </w:r>
    </w:p>
    <w:p>
      <w:pPr>
        <w:spacing w:line="540" w:lineRule="exact"/>
        <w:ind w:firstLine="640"/>
        <w:rPr>
          <w:rFonts w:hint="eastAsia" w:ascii="黑体" w:hAnsi="黑体" w:eastAsia="黑体" w:cs="黑体"/>
          <w:b/>
          <w:bCs w:val="0"/>
          <w:sz w:val="32"/>
          <w:szCs w:val="32"/>
        </w:rPr>
      </w:pPr>
      <w:r>
        <w:rPr>
          <w:rFonts w:hint="eastAsia" w:ascii="黑体" w:hAnsi="黑体" w:eastAsia="黑体" w:cs="黑体"/>
          <w:b/>
          <w:bCs w:val="0"/>
          <w:sz w:val="32"/>
          <w:szCs w:val="32"/>
        </w:rPr>
        <w:t>七、附表</w:t>
      </w:r>
    </w:p>
    <w:p>
      <w:pPr>
        <w:widowControl/>
        <w:jc w:val="center"/>
        <w:rPr>
          <w:rStyle w:val="18"/>
          <w:rFonts w:hint="eastAsia" w:ascii="仿宋_GB2312" w:hAnsi="仿宋_GB2312" w:eastAsia="仿宋_GB2312" w:cs="仿宋_GB2312"/>
          <w:b w:val="0"/>
          <w:bCs w:val="0"/>
          <w:kern w:val="0"/>
          <w:sz w:val="32"/>
          <w:szCs w:val="32"/>
        </w:rPr>
      </w:pPr>
      <w:r>
        <w:rPr>
          <w:rStyle w:val="18"/>
          <w:rFonts w:hint="eastAsia" w:ascii="仿宋" w:hAnsi="仿宋" w:eastAsia="仿宋"/>
          <w:b w:val="0"/>
          <w:spacing w:val="-4"/>
          <w:sz w:val="32"/>
          <w:szCs w:val="32"/>
        </w:rPr>
        <w:t>《</w:t>
      </w:r>
      <w:r>
        <w:rPr>
          <w:rFonts w:hint="eastAsia" w:ascii="仿宋_GB2312" w:hAnsi="仿宋_GB2312" w:eastAsia="仿宋_GB2312" w:cs="仿宋_GB2312"/>
          <w:b w:val="0"/>
          <w:bCs w:val="0"/>
          <w:kern w:val="0"/>
          <w:sz w:val="32"/>
          <w:szCs w:val="32"/>
        </w:rPr>
        <w:t>新疆维吾尔自治区巴州和静县政协办公室单位项目支出绩效自评表</w:t>
      </w:r>
      <w:r>
        <w:rPr>
          <w:rStyle w:val="18"/>
          <w:rFonts w:hint="eastAsia" w:ascii="仿宋_GB2312" w:hAnsi="仿宋_GB2312" w:eastAsia="仿宋_GB2312" w:cs="仿宋_GB2312"/>
          <w:b w:val="0"/>
          <w:bCs w:val="0"/>
          <w:spacing w:val="-4"/>
          <w:sz w:val="32"/>
          <w:szCs w:val="32"/>
        </w:rPr>
        <w:t>》</w:t>
      </w:r>
    </w:p>
    <w:p>
      <w:pPr>
        <w:spacing w:line="540" w:lineRule="exact"/>
        <w:ind w:firstLine="567"/>
        <w:rPr>
          <w:rStyle w:val="18"/>
          <w:rFonts w:ascii="仿宋" w:hAnsi="仿宋" w:eastAsia="仿宋"/>
          <w:b w:val="0"/>
          <w:spacing w:val="-4"/>
          <w:sz w:val="32"/>
          <w:szCs w:val="32"/>
        </w:rPr>
      </w:pPr>
    </w:p>
    <w:p>
      <w:pPr>
        <w:widowControl/>
        <w:jc w:val="both"/>
        <w:rPr>
          <w:rFonts w:ascii="宋体" w:hAnsi="宋体" w:cs="宋体"/>
          <w:b/>
          <w:bCs/>
          <w:kern w:val="0"/>
          <w:sz w:val="32"/>
          <w:szCs w:val="32"/>
        </w:rPr>
      </w:pPr>
    </w:p>
    <w:p>
      <w:pPr>
        <w:spacing w:line="540" w:lineRule="exact"/>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7</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56465"/>
    <w:rsid w:val="0008021B"/>
    <w:rsid w:val="001042C3"/>
    <w:rsid w:val="00121AE4"/>
    <w:rsid w:val="00146AAD"/>
    <w:rsid w:val="001B3A40"/>
    <w:rsid w:val="001E0C37"/>
    <w:rsid w:val="002220EF"/>
    <w:rsid w:val="002574E5"/>
    <w:rsid w:val="00263F68"/>
    <w:rsid w:val="002C0C56"/>
    <w:rsid w:val="002E590A"/>
    <w:rsid w:val="0030673D"/>
    <w:rsid w:val="00322C73"/>
    <w:rsid w:val="0035754E"/>
    <w:rsid w:val="003908B7"/>
    <w:rsid w:val="003F2272"/>
    <w:rsid w:val="004366A8"/>
    <w:rsid w:val="004437A1"/>
    <w:rsid w:val="004A4F8C"/>
    <w:rsid w:val="004F7808"/>
    <w:rsid w:val="00502BA7"/>
    <w:rsid w:val="005162F1"/>
    <w:rsid w:val="00535153"/>
    <w:rsid w:val="0053609B"/>
    <w:rsid w:val="00554F82"/>
    <w:rsid w:val="00557407"/>
    <w:rsid w:val="0056390D"/>
    <w:rsid w:val="005719B0"/>
    <w:rsid w:val="005D10D6"/>
    <w:rsid w:val="006711EF"/>
    <w:rsid w:val="0069633C"/>
    <w:rsid w:val="006D0C61"/>
    <w:rsid w:val="006E33F4"/>
    <w:rsid w:val="006E6BB4"/>
    <w:rsid w:val="006F0806"/>
    <w:rsid w:val="0071054C"/>
    <w:rsid w:val="00743B81"/>
    <w:rsid w:val="00855E3A"/>
    <w:rsid w:val="00896DCE"/>
    <w:rsid w:val="008A5EA3"/>
    <w:rsid w:val="008B6195"/>
    <w:rsid w:val="00922CB9"/>
    <w:rsid w:val="0092573B"/>
    <w:rsid w:val="00931D79"/>
    <w:rsid w:val="009564B6"/>
    <w:rsid w:val="009E5CD9"/>
    <w:rsid w:val="00A261DA"/>
    <w:rsid w:val="00A26421"/>
    <w:rsid w:val="00A4293B"/>
    <w:rsid w:val="00A57B03"/>
    <w:rsid w:val="00A67D50"/>
    <w:rsid w:val="00A74192"/>
    <w:rsid w:val="00A80D12"/>
    <w:rsid w:val="00A8691A"/>
    <w:rsid w:val="00AC1946"/>
    <w:rsid w:val="00AF5798"/>
    <w:rsid w:val="00B2144E"/>
    <w:rsid w:val="00B374FE"/>
    <w:rsid w:val="00B40063"/>
    <w:rsid w:val="00B41F61"/>
    <w:rsid w:val="00B92DC3"/>
    <w:rsid w:val="00BA09B5"/>
    <w:rsid w:val="00BA46E6"/>
    <w:rsid w:val="00BC3267"/>
    <w:rsid w:val="00C011D9"/>
    <w:rsid w:val="00C5679B"/>
    <w:rsid w:val="00C56C72"/>
    <w:rsid w:val="00C83342"/>
    <w:rsid w:val="00CA6457"/>
    <w:rsid w:val="00D01E2B"/>
    <w:rsid w:val="00D16AF4"/>
    <w:rsid w:val="00D17F2E"/>
    <w:rsid w:val="00D30354"/>
    <w:rsid w:val="00D926BD"/>
    <w:rsid w:val="00DA3665"/>
    <w:rsid w:val="00DB718A"/>
    <w:rsid w:val="00DD141F"/>
    <w:rsid w:val="00DD1686"/>
    <w:rsid w:val="00DF42A0"/>
    <w:rsid w:val="00E00D00"/>
    <w:rsid w:val="00E769FE"/>
    <w:rsid w:val="00E9554A"/>
    <w:rsid w:val="00E95867"/>
    <w:rsid w:val="00EA2CBE"/>
    <w:rsid w:val="00EF091D"/>
    <w:rsid w:val="00F03C31"/>
    <w:rsid w:val="00F32FEE"/>
    <w:rsid w:val="00F624A7"/>
    <w:rsid w:val="00FB10BB"/>
    <w:rsid w:val="078B365A"/>
    <w:rsid w:val="0BB16671"/>
    <w:rsid w:val="0CEF6875"/>
    <w:rsid w:val="10955CDA"/>
    <w:rsid w:val="14FB4CB7"/>
    <w:rsid w:val="2AD94360"/>
    <w:rsid w:val="2BC51E87"/>
    <w:rsid w:val="37FC34C7"/>
    <w:rsid w:val="4246192D"/>
    <w:rsid w:val="472238F6"/>
    <w:rsid w:val="4E75747F"/>
    <w:rsid w:val="54B8738B"/>
    <w:rsid w:val="58B511AE"/>
    <w:rsid w:val="5D0B4380"/>
    <w:rsid w:val="5EE14349"/>
    <w:rsid w:val="61DD20C0"/>
    <w:rsid w:val="62502DE6"/>
    <w:rsid w:val="68C571EC"/>
    <w:rsid w:val="69981E3C"/>
    <w:rsid w:val="745766F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unhideWhenUsed/>
    <w:qFormat/>
    <w:uiPriority w:val="1"/>
  </w:style>
  <w:style w:type="table" w:default="1" w:styleId="16">
    <w:name w:val="Normal Table"/>
    <w:unhideWhenUsed/>
    <w:qFormat/>
    <w:uiPriority w:val="99"/>
    <w:tblPr>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qFormat/>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uiPriority w:val="10"/>
    <w:rPr>
      <w:rFonts w:asciiTheme="majorHAnsi" w:hAnsiTheme="majorHAnsi" w:eastAsiaTheme="majorEastAsia"/>
      <w:b/>
      <w:bCs/>
      <w:kern w:val="28"/>
      <w:sz w:val="32"/>
      <w:szCs w:val="32"/>
    </w:rPr>
  </w:style>
  <w:style w:type="character" w:customStyle="1" w:styleId="30">
    <w:name w:val="副标题 Char"/>
    <w:basedOn w:val="17"/>
    <w:link w:val="14"/>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闻政-正文段落文字 Char"/>
    <w:link w:val="47"/>
    <w:qFormat/>
    <w:uiPriority w:val="3"/>
    <w:rPr>
      <w:rFonts w:ascii="Times New Roman" w:hAnsi="Times New Roman" w:eastAsia="仿宋_GB2312"/>
      <w:sz w:val="28"/>
      <w:szCs w:val="28"/>
    </w:rPr>
  </w:style>
  <w:style w:type="paragraph" w:customStyle="1" w:styleId="47">
    <w:name w:val="闻政-正文段落文字"/>
    <w:basedOn w:val="1"/>
    <w:link w:val="46"/>
    <w:qFormat/>
    <w:uiPriority w:val="3"/>
    <w:pPr>
      <w:spacing w:line="500" w:lineRule="exact"/>
      <w:ind w:firstLine="200" w:firstLineChars="200"/>
    </w:pPr>
    <w:rPr>
      <w:rFonts w:eastAsia="仿宋_GB2312"/>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2C69AC-5BB9-457A-97AB-02A3FBF8670F}">
  <ds:schemaRefs/>
</ds:datastoreItem>
</file>

<file path=docProps/app.xml><?xml version="1.0" encoding="utf-8"?>
<Properties xmlns="http://schemas.openxmlformats.org/officeDocument/2006/extended-properties" xmlns:vt="http://schemas.openxmlformats.org/officeDocument/2006/docPropsVTypes">
  <Template>Normal</Template>
  <Pages>7</Pages>
  <Words>440</Words>
  <Characters>2510</Characters>
  <Lines>20</Lines>
  <Paragraphs>5</Paragraphs>
  <TotalTime>0</TotalTime>
  <ScaleCrop>false</ScaleCrop>
  <LinksUpToDate>false</LinksUpToDate>
  <CharactersWithSpaces>2945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2019-10-24T15:24:00Z</dcterms:created>
  <dc:creator>赵 恺（预算处）</dc:creator>
  <cp:lastModifiedBy>Administrator</cp:lastModifiedBy>
  <cp:lastPrinted>2018-12-31T10:56:00Z</cp:lastPrinted>
  <dcterms:modified xsi:type="dcterms:W3CDTF">2021-05-29T13:15:08Z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