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黑体" w:hAnsi="黑体" w:eastAsia="黑体"/>
          <w:sz w:val="32"/>
          <w:szCs w:val="32"/>
        </w:rPr>
      </w:pPr>
      <w:r>
        <w:rPr>
          <w:rFonts w:hint="eastAsia" w:ascii="黑体" w:hAnsi="黑体" w:eastAsia="黑体"/>
          <w:sz w:val="32"/>
          <w:szCs w:val="32"/>
        </w:rPr>
        <w:t>附1</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w:t>
            </w:r>
            <w:r>
              <w:rPr>
                <w:rFonts w:hint="eastAsia" w:ascii="宋体" w:hAnsi="宋体" w:eastAsia="宋体" w:cs="宋体"/>
                <w:kern w:val="0"/>
                <w:sz w:val="22"/>
                <w:szCs w:val="22"/>
                <w:lang w:val="en-US" w:eastAsia="zh-CN"/>
              </w:rPr>
              <w:t>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468"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草原植被恢复费</w:t>
            </w:r>
          </w:p>
        </w:tc>
      </w:tr>
      <w:tr>
        <w:tblPrEx>
          <w:tblCellMar>
            <w:top w:w="0" w:type="dxa"/>
            <w:left w:w="108" w:type="dxa"/>
            <w:bottom w:w="0" w:type="dxa"/>
            <w:right w:w="108" w:type="dxa"/>
          </w:tblCellMar>
        </w:tblPrEx>
        <w:trPr>
          <w:trHeight w:val="496"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和静县林业和草原局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和静县草原监理所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colFirst="3" w:colLast="3"/>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r>
      <w:bookmarkEnd w:id="0"/>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20%返还植被恢复费已返还到位</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资金执行率100%，构建草原生态平衡</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指标1：征占草原面积</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483.7亩</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483.7亩</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6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指标1：草原恢复质量合格率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8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植被恢复当期任务完成</w:t>
            </w:r>
            <w:r>
              <w:rPr>
                <w:rFonts w:hint="eastAsia" w:ascii="宋体" w:hAnsi="宋体" w:eastAsia="宋体" w:cs="宋体"/>
                <w:color w:val="000000"/>
                <w:kern w:val="0"/>
                <w:sz w:val="18"/>
                <w:szCs w:val="18"/>
                <w:lang w:eastAsia="zh-CN"/>
              </w:rPr>
              <w:t>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上交草原植被恢复费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是否构建草原生态平衡</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是</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草原恢复构建稳定草原生态系统持续率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default" w:ascii="宋体" w:hAnsi="宋体" w:eastAsia="宋体" w:cs="宋体"/>
                <w:kern w:val="0"/>
                <w:sz w:val="18"/>
                <w:szCs w:val="18"/>
                <w:lang w:val="en-US" w:eastAsia="zh-CN"/>
              </w:rPr>
              <w:t>≥</w:t>
            </w:r>
            <w:r>
              <w:rPr>
                <w:rFonts w:hint="eastAsia" w:ascii="宋体" w:hAnsi="宋体" w:eastAsia="宋体" w:cs="宋体"/>
                <w:kern w:val="0"/>
                <w:sz w:val="18"/>
                <w:szCs w:val="18"/>
                <w:lang w:eastAsia="zh-CN"/>
              </w:rPr>
              <w:t>94%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牧民对项目的满意度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64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附2</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40" w:firstLineChars="200"/>
        <w:outlineLvl w:val="0"/>
        <w:rPr>
          <w:rFonts w:hint="eastAsia" w:ascii="仿宋_GB2312"/>
          <w:sz w:val="32"/>
          <w:szCs w:val="32"/>
        </w:rPr>
      </w:pPr>
      <w:r>
        <w:rPr>
          <w:rFonts w:hint="eastAsia" w:ascii="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sz w:val="32"/>
          <w:szCs w:val="32"/>
          <w:lang w:val="en-US" w:eastAsia="zh-CN"/>
        </w:rPr>
        <w:t xml:space="preserve"> 为进一步规范自治区草原植被恢复费征收使用管理，保护和恢复自治区草原植被，改善生态环境。缴入自治区本级国库的草原植被恢复费，10%用于被征占用草原所在的地州市恢复草原植被，70%用于被征占草原所在的县市恢复草原植被，资金通过自治区财政专项转移支付分别返回被征占草原所在地州市、县市财政；20%集中用于自治区范围内草原植被恢复。缴入地州市、县市级国库的草原植被恢复费，全部用于本区域范围内的草原植被恢复。</w:t>
      </w:r>
    </w:p>
    <w:p>
      <w:pPr>
        <w:numPr>
          <w:ilvl w:val="0"/>
          <w:numId w:val="1"/>
        </w:numPr>
        <w:spacing w:line="600" w:lineRule="exact"/>
        <w:ind w:firstLine="640" w:firstLineChars="200"/>
        <w:rPr>
          <w:rFonts w:hint="eastAsia" w:ascii="仿宋_GB2312"/>
          <w:sz w:val="32"/>
          <w:szCs w:val="32"/>
        </w:rPr>
      </w:pPr>
      <w:r>
        <w:rPr>
          <w:rFonts w:hint="eastAsia" w:ascii="仿宋_GB2312"/>
          <w:sz w:val="32"/>
          <w:szCs w:val="32"/>
        </w:rPr>
        <w:t>项目绩效目标。</w:t>
      </w:r>
    </w:p>
    <w:p>
      <w:pPr>
        <w:numPr>
          <w:ilvl w:val="0"/>
          <w:numId w:val="0"/>
        </w:numPr>
        <w:spacing w:line="600" w:lineRule="exact"/>
        <w:ind w:firstLine="960" w:firstLineChars="300"/>
        <w:rPr>
          <w:rFonts w:hint="eastAsia" w:ascii="仿宋_GB2312"/>
          <w:sz w:val="32"/>
          <w:szCs w:val="32"/>
        </w:rPr>
      </w:pPr>
      <w:r>
        <w:rPr>
          <w:rFonts w:hint="eastAsia" w:ascii="仿宋_GB2312"/>
          <w:sz w:val="32"/>
          <w:szCs w:val="32"/>
        </w:rPr>
        <w:t>返还20%</w:t>
      </w:r>
      <w:r>
        <w:rPr>
          <w:rFonts w:hint="eastAsia" w:ascii="仿宋_GB2312"/>
          <w:sz w:val="32"/>
          <w:szCs w:val="32"/>
          <w:lang w:eastAsia="zh-CN"/>
        </w:rPr>
        <w:t>的</w:t>
      </w:r>
      <w:r>
        <w:rPr>
          <w:rFonts w:hint="eastAsia" w:ascii="仿宋_GB2312"/>
          <w:sz w:val="32"/>
          <w:szCs w:val="32"/>
        </w:rPr>
        <w:t>植被恢复费</w:t>
      </w:r>
      <w:r>
        <w:rPr>
          <w:rFonts w:hint="eastAsia" w:ascii="仿宋_GB2312"/>
          <w:sz w:val="32"/>
          <w:szCs w:val="32"/>
          <w:lang w:eastAsia="zh-CN"/>
        </w:rPr>
        <w:t>给自治区国库</w:t>
      </w:r>
    </w:p>
    <w:p>
      <w:pPr>
        <w:numPr>
          <w:ilvl w:val="0"/>
          <w:numId w:val="1"/>
        </w:num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520" w:lineRule="exact"/>
        <w:ind w:firstLine="560" w:firstLineChars="200"/>
        <w:outlineLvl w:val="0"/>
        <w:rPr>
          <w:rFonts w:hint="eastAsia" w:ascii="仿宋_GB2312"/>
          <w:sz w:val="32"/>
          <w:szCs w:val="32"/>
          <w:lang w:val="en-US" w:eastAsia="zh-CN"/>
        </w:rPr>
      </w:pPr>
      <w:r>
        <w:rPr>
          <w:rFonts w:hint="eastAsia" w:ascii="方正仿宋_GBK" w:eastAsia="方正仿宋_GBK"/>
          <w:b/>
          <w:sz w:val="28"/>
          <w:szCs w:val="28"/>
        </w:rPr>
        <w:t>1、绩效评价目的：</w:t>
      </w:r>
      <w:r>
        <w:rPr>
          <w:rFonts w:hint="eastAsia" w:ascii="仿宋_GB2312"/>
          <w:sz w:val="32"/>
          <w:szCs w:val="32"/>
          <w:lang w:val="en-US" w:eastAsia="zh-CN"/>
        </w:rPr>
        <w:t>通过开展绩效评价，了解项目资金使用的社会效益，经济效益和生态效益。分析该项目是否达到了预期目的，评价资金使用的规范性和有效性。并及时总结经验，分析存在问题，提出改进意见和建议，促进本单位提升财政专项资金的预算绩效管理工作水平。强化项目支出责任，规范资金管理行为，提高财政资金使用效益。</w:t>
      </w:r>
    </w:p>
    <w:p>
      <w:pPr>
        <w:spacing w:line="520" w:lineRule="exact"/>
        <w:ind w:firstLine="840" w:firstLineChars="300"/>
        <w:outlineLvl w:val="0"/>
        <w:rPr>
          <w:rFonts w:hint="eastAsia" w:ascii="仿宋_GB2312" w:eastAsia="宋体"/>
          <w:lang w:val="en-US" w:eastAsia="zh-CN"/>
        </w:rPr>
      </w:pPr>
      <w:r>
        <w:rPr>
          <w:rFonts w:hint="eastAsia" w:ascii="方正仿宋_GBK" w:eastAsia="方正仿宋_GBK"/>
          <w:b/>
          <w:sz w:val="28"/>
          <w:szCs w:val="28"/>
        </w:rPr>
        <w:t>2、绩效评价对象：</w:t>
      </w:r>
      <w:r>
        <w:rPr>
          <w:rFonts w:hint="eastAsia" w:ascii="仿宋_GB2312"/>
          <w:sz w:val="32"/>
          <w:szCs w:val="32"/>
          <w:lang w:val="en-US" w:eastAsia="zh-CN"/>
        </w:rPr>
        <w:t>返还20%的植被恢复费给自治区国库</w:t>
      </w:r>
    </w:p>
    <w:p>
      <w:pPr>
        <w:spacing w:line="520" w:lineRule="exact"/>
        <w:ind w:firstLine="560" w:firstLineChars="200"/>
        <w:outlineLvl w:val="0"/>
        <w:rPr>
          <w:rFonts w:hint="eastAsia" w:ascii="方正仿宋_GBK" w:eastAsia="方正仿宋_GBK"/>
          <w:b/>
          <w:sz w:val="28"/>
          <w:szCs w:val="28"/>
        </w:rPr>
      </w:pPr>
      <w:r>
        <w:rPr>
          <w:rFonts w:hint="eastAsia" w:ascii="方正仿宋_GBK" w:eastAsia="方正仿宋_GBK"/>
          <w:b/>
          <w:sz w:val="28"/>
          <w:szCs w:val="28"/>
        </w:rPr>
        <w:t>（二）绩效评价原则、评价指标体系、评价方法、评价标准等（附表说明）。</w:t>
      </w:r>
    </w:p>
    <w:p>
      <w:pPr>
        <w:spacing w:line="520" w:lineRule="exact"/>
        <w:ind w:firstLine="560" w:firstLineChars="200"/>
        <w:outlineLvl w:val="0"/>
        <w:rPr>
          <w:rFonts w:hint="eastAsia" w:ascii="方正仿宋_GBK" w:eastAsia="方正仿宋_GBK"/>
          <w:b/>
          <w:sz w:val="28"/>
          <w:szCs w:val="28"/>
        </w:rPr>
      </w:pPr>
      <w:r>
        <w:rPr>
          <w:rFonts w:hint="eastAsia" w:ascii="方正仿宋_GBK" w:eastAsia="方正仿宋_GBK"/>
          <w:b/>
          <w:sz w:val="28"/>
          <w:szCs w:val="28"/>
        </w:rPr>
        <w:t>1、绩效评价原则</w:t>
      </w:r>
    </w:p>
    <w:p>
      <w:pPr>
        <w:spacing w:line="520" w:lineRule="exact"/>
        <w:ind w:firstLine="600" w:firstLineChars="200"/>
        <w:outlineLvl w:val="0"/>
        <w:rPr>
          <w:rFonts w:hint="eastAsia" w:ascii="方正仿宋_GBK" w:eastAsia="方正仿宋_GBK"/>
          <w:sz w:val="28"/>
          <w:szCs w:val="28"/>
        </w:rPr>
      </w:pPr>
      <w:r>
        <w:rPr>
          <w:rFonts w:hint="eastAsia" w:ascii="仿宋_GB2312"/>
          <w:lang w:val="en-US" w:eastAsia="zh-CN"/>
        </w:rPr>
        <w:t>绩效评价结合工作实际情况，按照设定的绩效目标。运用合理的评价方法，对照标准进行客观公正的评价。</w:t>
      </w:r>
    </w:p>
    <w:p>
      <w:pPr>
        <w:spacing w:line="520" w:lineRule="exact"/>
        <w:ind w:firstLine="560" w:firstLineChars="200"/>
        <w:outlineLvl w:val="0"/>
        <w:rPr>
          <w:rFonts w:hint="eastAsia" w:ascii="方正仿宋_GBK" w:eastAsia="方正仿宋_GBK"/>
          <w:b/>
          <w:sz w:val="28"/>
          <w:szCs w:val="28"/>
        </w:rPr>
      </w:pPr>
      <w:r>
        <w:rPr>
          <w:rFonts w:hint="eastAsia" w:ascii="方正仿宋_GBK" w:eastAsia="方正仿宋_GBK"/>
          <w:b/>
          <w:sz w:val="28"/>
          <w:szCs w:val="28"/>
        </w:rPr>
        <w:t>2、评价指标体系</w:t>
      </w:r>
    </w:p>
    <w:p>
      <w:pPr>
        <w:spacing w:line="520" w:lineRule="exact"/>
        <w:ind w:firstLine="600" w:firstLineChars="200"/>
        <w:outlineLvl w:val="0"/>
        <w:rPr>
          <w:rFonts w:hint="eastAsia" w:ascii="仿宋_GB2312"/>
          <w:lang w:val="en-US" w:eastAsia="zh-CN"/>
        </w:rPr>
      </w:pPr>
      <w:r>
        <w:rPr>
          <w:rFonts w:hint="eastAsia" w:ascii="仿宋_GB2312"/>
          <w:lang w:val="en-US" w:eastAsia="zh-CN"/>
        </w:rPr>
        <w:t>指标评价体系指标主要根据财政部门设置的指标绩效评价管理制度及单位职能，选取科学灵活，具有可操作性，贴近实际的项目支出评价体系。</w:t>
      </w:r>
    </w:p>
    <w:p>
      <w:pPr>
        <w:spacing w:line="520" w:lineRule="exact"/>
        <w:ind w:firstLine="560" w:firstLineChars="200"/>
        <w:outlineLvl w:val="0"/>
        <w:rPr>
          <w:rFonts w:hint="eastAsia" w:ascii="方正仿宋_GBK" w:eastAsia="方正仿宋_GBK"/>
          <w:b/>
          <w:sz w:val="28"/>
          <w:szCs w:val="28"/>
        </w:rPr>
      </w:pPr>
      <w:r>
        <w:rPr>
          <w:rFonts w:hint="eastAsia" w:ascii="方正仿宋_GBK" w:eastAsia="方正仿宋_GBK"/>
          <w:b/>
          <w:sz w:val="28"/>
          <w:szCs w:val="28"/>
        </w:rPr>
        <w:t>3、评价方法</w:t>
      </w:r>
    </w:p>
    <w:p>
      <w:pPr>
        <w:spacing w:line="520" w:lineRule="exact"/>
        <w:ind w:firstLine="600" w:firstLineChars="200"/>
        <w:outlineLvl w:val="0"/>
        <w:rPr>
          <w:rFonts w:hint="eastAsia" w:ascii="仿宋_GB2312"/>
          <w:lang w:val="en-US" w:eastAsia="zh-CN"/>
        </w:rPr>
      </w:pPr>
      <w:r>
        <w:rPr>
          <w:rFonts w:hint="eastAsia" w:ascii="仿宋_GB2312"/>
          <w:lang w:val="en-US" w:eastAsia="zh-CN"/>
        </w:rPr>
        <w:t>采用最直接的对比法，对比绩效指标完成情况评分，在此基础上进行评价。</w:t>
      </w:r>
    </w:p>
    <w:p>
      <w:pPr>
        <w:spacing w:line="520" w:lineRule="exact"/>
        <w:ind w:firstLine="560" w:firstLineChars="200"/>
        <w:outlineLvl w:val="0"/>
        <w:rPr>
          <w:rFonts w:hint="eastAsia" w:ascii="方正仿宋_GBK" w:eastAsia="方正仿宋_GBK"/>
          <w:b/>
          <w:bCs/>
          <w:sz w:val="28"/>
          <w:szCs w:val="28"/>
        </w:rPr>
      </w:pPr>
      <w:r>
        <w:rPr>
          <w:rFonts w:hint="eastAsia" w:ascii="方正仿宋_GBK" w:eastAsia="方正仿宋_GBK"/>
          <w:b/>
          <w:bCs/>
          <w:sz w:val="28"/>
          <w:szCs w:val="28"/>
        </w:rPr>
        <w:t>4、评价标准</w:t>
      </w:r>
    </w:p>
    <w:p>
      <w:pPr>
        <w:spacing w:line="520" w:lineRule="exact"/>
        <w:ind w:firstLine="600" w:firstLineChars="200"/>
        <w:outlineLvl w:val="0"/>
        <w:rPr>
          <w:rFonts w:hint="eastAsia" w:ascii="仿宋_GB2312"/>
          <w:lang w:val="en-US" w:eastAsia="zh-CN"/>
        </w:rPr>
      </w:pPr>
      <w:r>
        <w:rPr>
          <w:rFonts w:hint="eastAsia" w:ascii="仿宋_GB2312"/>
          <w:lang w:val="en-US" w:eastAsia="zh-CN"/>
        </w:rPr>
        <w:t>以项目支出评价体系为标准，对项目建成情况、完成时间、建设内容、资金使用情况等查看否符合标准。</w:t>
      </w:r>
    </w:p>
    <w:p>
      <w:pPr>
        <w:spacing w:line="520" w:lineRule="exact"/>
        <w:ind w:firstLine="560" w:firstLineChars="200"/>
        <w:outlineLvl w:val="0"/>
        <w:rPr>
          <w:rFonts w:hint="eastAsia" w:ascii="方正仿宋_GBK" w:eastAsia="方正仿宋_GBK"/>
          <w:b/>
          <w:bCs/>
          <w:sz w:val="28"/>
          <w:szCs w:val="28"/>
        </w:rPr>
      </w:pPr>
      <w:r>
        <w:rPr>
          <w:rFonts w:hint="eastAsia" w:ascii="方正仿宋_GBK" w:eastAsia="方正仿宋_GBK"/>
          <w:b/>
          <w:bCs/>
          <w:sz w:val="28"/>
          <w:szCs w:val="28"/>
        </w:rPr>
        <w:t>（三）绩效评价工作过程</w:t>
      </w:r>
    </w:p>
    <w:p>
      <w:pPr>
        <w:spacing w:line="520" w:lineRule="exact"/>
        <w:ind w:firstLine="600" w:firstLineChars="200"/>
        <w:outlineLvl w:val="0"/>
        <w:rPr>
          <w:rFonts w:hint="eastAsia" w:ascii="仿宋_GB2312"/>
          <w:lang w:val="en-US" w:eastAsia="zh-CN"/>
        </w:rPr>
      </w:pPr>
      <w:r>
        <w:rPr>
          <w:rFonts w:hint="eastAsia" w:ascii="仿宋_GB2312"/>
          <w:lang w:val="en-US" w:eastAsia="zh-CN"/>
        </w:rPr>
        <w:t>评价工作根据项目绩效目标进行，一是了解项目基本情况，二是收集项目建设进度、设备配备情况和资金使用相关发票等信息资料，三是数据分析评价形成报告。</w:t>
      </w:r>
    </w:p>
    <w:p>
      <w:pPr>
        <w:spacing w:line="520" w:lineRule="exact"/>
        <w:ind w:firstLine="560" w:firstLineChars="200"/>
        <w:rPr>
          <w:rFonts w:hint="eastAsia" w:ascii="方正仿宋_GBK" w:eastAsia="方正仿宋_GBK"/>
          <w:b/>
          <w:bCs/>
          <w:sz w:val="28"/>
          <w:szCs w:val="28"/>
        </w:rPr>
      </w:pPr>
      <w:r>
        <w:rPr>
          <w:rFonts w:hint="eastAsia" w:ascii="方正仿宋_GBK" w:hAnsi="黑体" w:eastAsia="方正仿宋_GBK"/>
          <w:b/>
          <w:bCs/>
          <w:sz w:val="28"/>
          <w:szCs w:val="28"/>
        </w:rPr>
        <w:t>三、综合评价情况及评价结论</w:t>
      </w:r>
      <w:r>
        <w:rPr>
          <w:rFonts w:hint="eastAsia" w:ascii="方正仿宋_GBK" w:eastAsia="方正仿宋_GBK"/>
          <w:b/>
          <w:bCs/>
          <w:sz w:val="28"/>
          <w:szCs w:val="28"/>
        </w:rPr>
        <w:t>（附相关评分表）</w:t>
      </w:r>
    </w:p>
    <w:p>
      <w:pPr>
        <w:spacing w:line="520" w:lineRule="exact"/>
        <w:ind w:firstLine="600" w:firstLineChars="200"/>
        <w:outlineLvl w:val="0"/>
        <w:rPr>
          <w:rFonts w:hint="eastAsia" w:ascii="仿宋_GB2312"/>
          <w:lang w:val="en-US" w:eastAsia="zh-CN"/>
        </w:rPr>
      </w:pPr>
      <w:r>
        <w:rPr>
          <w:rFonts w:hint="eastAsia" w:ascii="仿宋_GB2312"/>
          <w:lang w:val="en-US" w:eastAsia="zh-CN"/>
        </w:rPr>
        <w:t>我局严格按照有关要求使用和管理项目资金，实际支出与项目规定的用途一致，资金收支平衡。资金使用都能做到公开、公平，按程序上报和审批。严格执行财务制度，无截留、挤占、等违规行为。财务制度健全，财务信息真实完整。该项目评价得分100分，绩效自评结论为“优”结论（附相关评分表）</w:t>
      </w:r>
    </w:p>
    <w:p>
      <w:pPr>
        <w:spacing w:line="520" w:lineRule="exact"/>
        <w:ind w:firstLine="560" w:firstLineChars="200"/>
        <w:rPr>
          <w:rFonts w:hint="eastAsia" w:ascii="方正仿宋_GBK" w:hAnsi="黑体" w:eastAsia="方正仿宋_GBK"/>
          <w:b/>
          <w:bCs/>
          <w:sz w:val="28"/>
          <w:szCs w:val="28"/>
        </w:rPr>
      </w:pPr>
      <w:r>
        <w:rPr>
          <w:rFonts w:hint="eastAsia" w:ascii="方正仿宋_GBK" w:hAnsi="黑体" w:eastAsia="方正仿宋_GBK"/>
          <w:b/>
          <w:bCs/>
          <w:sz w:val="28"/>
          <w:szCs w:val="28"/>
        </w:rPr>
        <w:t>四、绩效评价指标分析</w:t>
      </w:r>
    </w:p>
    <w:p>
      <w:pPr>
        <w:autoSpaceDN w:val="0"/>
        <w:spacing w:line="520" w:lineRule="exact"/>
        <w:ind w:firstLine="560" w:firstLineChars="200"/>
        <w:rPr>
          <w:rFonts w:hint="eastAsia" w:ascii="方正仿宋_GBK" w:eastAsia="方正仿宋_GBK"/>
          <w:sz w:val="28"/>
          <w:szCs w:val="28"/>
        </w:rPr>
      </w:pPr>
      <w:r>
        <w:rPr>
          <w:rFonts w:hint="eastAsia" w:ascii="方正仿宋_GBK" w:eastAsia="方正仿宋_GBK"/>
          <w:sz w:val="28"/>
          <w:szCs w:val="28"/>
        </w:rPr>
        <w:t>（一）项目决策情况</w:t>
      </w:r>
    </w:p>
    <w:p>
      <w:pPr>
        <w:autoSpaceDN w:val="0"/>
        <w:spacing w:line="520" w:lineRule="exact"/>
        <w:ind w:firstLine="560" w:firstLineChars="200"/>
        <w:rPr>
          <w:rFonts w:hint="eastAsia" w:ascii="方正仿宋_GBK" w:eastAsia="方正仿宋_GBK"/>
          <w:b/>
          <w:sz w:val="28"/>
          <w:szCs w:val="28"/>
        </w:rPr>
      </w:pPr>
      <w:r>
        <w:rPr>
          <w:rFonts w:hint="eastAsia" w:ascii="方正仿宋_GBK" w:eastAsia="方正仿宋_GBK"/>
          <w:b/>
          <w:sz w:val="28"/>
          <w:szCs w:val="28"/>
        </w:rPr>
        <w:t>1.产出指标完成情况分析</w:t>
      </w:r>
    </w:p>
    <w:p>
      <w:pPr>
        <w:autoSpaceDN w:val="0"/>
        <w:spacing w:line="520" w:lineRule="exact"/>
        <w:ind w:firstLine="560" w:firstLineChars="200"/>
        <w:rPr>
          <w:rFonts w:hint="eastAsia" w:ascii="方正仿宋_GBK" w:eastAsia="方正仿宋_GBK"/>
          <w:b/>
          <w:sz w:val="28"/>
          <w:szCs w:val="28"/>
        </w:rPr>
      </w:pPr>
      <w:r>
        <w:rPr>
          <w:rFonts w:hint="eastAsia" w:ascii="方正仿宋_GBK" w:eastAsia="方正仿宋_GBK"/>
          <w:b/>
          <w:sz w:val="28"/>
          <w:szCs w:val="28"/>
        </w:rPr>
        <w:t>（1）项目完成数量</w:t>
      </w:r>
    </w:p>
    <w:p>
      <w:pPr>
        <w:spacing w:line="520" w:lineRule="exact"/>
        <w:ind w:firstLine="600" w:firstLineChars="200"/>
        <w:outlineLvl w:val="0"/>
        <w:rPr>
          <w:rFonts w:hint="eastAsia" w:ascii="仿宋_GB2312"/>
          <w:lang w:val="en-US" w:eastAsia="zh-CN"/>
        </w:rPr>
      </w:pPr>
      <w:r>
        <w:rPr>
          <w:rFonts w:hint="eastAsia" w:ascii="仿宋_GB2312"/>
          <w:lang w:val="en-US" w:eastAsia="zh-CN"/>
        </w:rPr>
        <w:t>完成征占草原面积483.7亩</w:t>
      </w:r>
    </w:p>
    <w:p>
      <w:pPr>
        <w:numPr>
          <w:ilvl w:val="0"/>
          <w:numId w:val="2"/>
        </w:numPr>
        <w:autoSpaceDN w:val="0"/>
        <w:spacing w:line="520" w:lineRule="exact"/>
        <w:ind w:firstLine="560" w:firstLineChars="200"/>
        <w:rPr>
          <w:rFonts w:hint="eastAsia" w:ascii="方正仿宋_GBK" w:eastAsia="方正仿宋_GBK"/>
          <w:b/>
          <w:sz w:val="28"/>
          <w:szCs w:val="28"/>
        </w:rPr>
      </w:pPr>
      <w:r>
        <w:rPr>
          <w:rFonts w:hint="eastAsia" w:ascii="方正仿宋_GBK" w:eastAsia="方正仿宋_GBK"/>
          <w:b/>
          <w:sz w:val="28"/>
          <w:szCs w:val="28"/>
        </w:rPr>
        <w:t>项目完成质量</w:t>
      </w:r>
    </w:p>
    <w:p>
      <w:pPr>
        <w:spacing w:line="520" w:lineRule="exact"/>
        <w:ind w:firstLine="600" w:firstLineChars="200"/>
        <w:outlineLvl w:val="0"/>
        <w:rPr>
          <w:rFonts w:hint="eastAsia" w:ascii="仿宋_GB2312"/>
          <w:lang w:val="en-US" w:eastAsia="zh-CN"/>
        </w:rPr>
      </w:pPr>
      <w:r>
        <w:rPr>
          <w:rFonts w:hint="eastAsia" w:ascii="仿宋_GB2312"/>
          <w:lang w:val="en-US" w:eastAsia="zh-CN"/>
        </w:rPr>
        <w:t>草原恢复质量合格率达≥95%。</w:t>
      </w:r>
    </w:p>
    <w:p>
      <w:pPr>
        <w:numPr>
          <w:ilvl w:val="0"/>
          <w:numId w:val="2"/>
        </w:numPr>
        <w:autoSpaceDN w:val="0"/>
        <w:spacing w:line="520" w:lineRule="exact"/>
        <w:ind w:left="0" w:leftChars="0" w:firstLine="560" w:firstLineChars="200"/>
        <w:rPr>
          <w:rFonts w:hint="eastAsia" w:ascii="方正仿宋_GBK" w:eastAsia="方正仿宋_GBK"/>
          <w:b/>
          <w:sz w:val="28"/>
          <w:szCs w:val="28"/>
        </w:rPr>
      </w:pPr>
      <w:r>
        <w:rPr>
          <w:rFonts w:hint="eastAsia" w:ascii="方正仿宋_GBK" w:eastAsia="方正仿宋_GBK"/>
          <w:b/>
          <w:sz w:val="28"/>
          <w:szCs w:val="28"/>
        </w:rPr>
        <w:t>项目实施进度</w:t>
      </w:r>
    </w:p>
    <w:p>
      <w:pPr>
        <w:spacing w:line="520" w:lineRule="exact"/>
        <w:ind w:firstLine="960" w:firstLineChars="300"/>
        <w:outlineLvl w:val="0"/>
        <w:rPr>
          <w:rFonts w:hint="eastAsia" w:ascii="方正仿宋_GBK" w:eastAsia="方正仿宋_GBK"/>
          <w:b/>
          <w:sz w:val="28"/>
          <w:szCs w:val="28"/>
        </w:rPr>
      </w:pPr>
      <w:r>
        <w:rPr>
          <w:rFonts w:hint="eastAsia" w:ascii="仿宋_GB2312"/>
          <w:sz w:val="32"/>
          <w:szCs w:val="32"/>
          <w:lang w:val="en-US" w:eastAsia="zh-CN"/>
        </w:rPr>
        <w:t>已返还20%的植被恢复费给自治区国库</w:t>
      </w:r>
    </w:p>
    <w:p>
      <w:pPr>
        <w:numPr>
          <w:ilvl w:val="0"/>
          <w:numId w:val="2"/>
        </w:numPr>
        <w:autoSpaceDN w:val="0"/>
        <w:spacing w:line="520" w:lineRule="exact"/>
        <w:ind w:left="0" w:leftChars="0" w:firstLine="560" w:firstLineChars="200"/>
        <w:rPr>
          <w:rFonts w:hint="eastAsia" w:ascii="方正仿宋_GBK" w:eastAsia="方正仿宋_GBK"/>
          <w:b/>
          <w:sz w:val="28"/>
          <w:szCs w:val="28"/>
        </w:rPr>
      </w:pPr>
      <w:r>
        <w:rPr>
          <w:rFonts w:hint="eastAsia" w:ascii="方正仿宋_GBK" w:eastAsia="方正仿宋_GBK"/>
          <w:b/>
          <w:sz w:val="28"/>
          <w:szCs w:val="28"/>
        </w:rPr>
        <w:t>项目成本节约情况</w:t>
      </w:r>
    </w:p>
    <w:p>
      <w:pPr>
        <w:spacing w:line="520" w:lineRule="exact"/>
        <w:ind w:firstLine="960" w:firstLineChars="300"/>
        <w:outlineLvl w:val="0"/>
        <w:rPr>
          <w:rFonts w:hint="eastAsia" w:ascii="方正仿宋_GBK" w:eastAsia="方正仿宋_GBK"/>
          <w:b/>
          <w:sz w:val="28"/>
          <w:szCs w:val="28"/>
        </w:rPr>
      </w:pPr>
      <w:r>
        <w:rPr>
          <w:rFonts w:hint="eastAsia" w:ascii="仿宋_GB2312"/>
          <w:sz w:val="32"/>
          <w:szCs w:val="32"/>
          <w:lang w:val="en-US" w:eastAsia="zh-CN"/>
        </w:rPr>
        <w:t>已返还20%的植被恢复费给自治区国库18.55万元</w:t>
      </w:r>
    </w:p>
    <w:p>
      <w:pPr>
        <w:autoSpaceDN w:val="0"/>
        <w:spacing w:line="520" w:lineRule="exact"/>
        <w:ind w:firstLine="840" w:firstLineChars="300"/>
        <w:rPr>
          <w:rFonts w:hint="eastAsia" w:ascii="方正仿宋_GBK" w:eastAsia="方正仿宋_GBK"/>
          <w:b/>
          <w:sz w:val="28"/>
          <w:szCs w:val="28"/>
        </w:rPr>
      </w:pPr>
      <w:r>
        <w:rPr>
          <w:rFonts w:hint="eastAsia" w:ascii="方正仿宋_GBK" w:eastAsia="方正仿宋_GBK"/>
          <w:b/>
          <w:sz w:val="28"/>
          <w:szCs w:val="28"/>
        </w:rPr>
        <w:t>2.效益指标完成情况分析</w:t>
      </w:r>
    </w:p>
    <w:p>
      <w:pPr>
        <w:numPr>
          <w:ilvl w:val="0"/>
          <w:numId w:val="0"/>
        </w:numPr>
        <w:spacing w:line="600" w:lineRule="exact"/>
        <w:ind w:firstLine="640" w:firstLineChars="200"/>
        <w:rPr>
          <w:rFonts w:hint="eastAsia" w:ascii="仿宋_GB2312"/>
          <w:lang w:eastAsia="zh-CN"/>
        </w:rPr>
      </w:pPr>
      <w:r>
        <w:rPr>
          <w:rFonts w:hint="eastAsia" w:ascii="仿宋_GB2312"/>
          <w:sz w:val="32"/>
          <w:szCs w:val="32"/>
          <w:lang w:val="en-US" w:eastAsia="zh-CN"/>
        </w:rPr>
        <w:t>保护和恢复了自治区草原植被，改善生态环境。</w:t>
      </w:r>
    </w:p>
    <w:p>
      <w:pPr>
        <w:numPr>
          <w:ilvl w:val="0"/>
          <w:numId w:val="3"/>
        </w:numPr>
        <w:autoSpaceDN w:val="0"/>
        <w:spacing w:line="520" w:lineRule="exact"/>
        <w:ind w:firstLine="560" w:firstLineChars="200"/>
        <w:rPr>
          <w:rFonts w:hint="eastAsia" w:ascii="方正仿宋_GBK" w:eastAsia="方正仿宋_GBK"/>
          <w:b/>
          <w:sz w:val="28"/>
          <w:szCs w:val="28"/>
        </w:rPr>
      </w:pPr>
      <w:r>
        <w:rPr>
          <w:rFonts w:hint="eastAsia" w:ascii="方正仿宋_GBK" w:eastAsia="方正仿宋_GBK"/>
          <w:b/>
          <w:sz w:val="28"/>
          <w:szCs w:val="28"/>
        </w:rPr>
        <w:t>满意度指标完成情况分析</w:t>
      </w:r>
    </w:p>
    <w:p>
      <w:pPr>
        <w:numPr>
          <w:ilvl w:val="0"/>
          <w:numId w:val="0"/>
        </w:numPr>
        <w:spacing w:line="600" w:lineRule="exact"/>
        <w:ind w:firstLine="640" w:firstLineChars="200"/>
        <w:rPr>
          <w:rFonts w:hint="default" w:ascii="仿宋_GB2312"/>
          <w:sz w:val="32"/>
          <w:szCs w:val="32"/>
          <w:lang w:val="en-US" w:eastAsia="zh-CN"/>
        </w:rPr>
      </w:pPr>
      <w:r>
        <w:rPr>
          <w:rFonts w:hint="eastAsia" w:ascii="仿宋_GB2312"/>
          <w:sz w:val="32"/>
          <w:szCs w:val="32"/>
          <w:lang w:val="en-US" w:eastAsia="zh-CN"/>
        </w:rPr>
        <w:t>项目实施对牧民的满意度达95%</w:t>
      </w:r>
    </w:p>
    <w:p>
      <w:pPr>
        <w:numPr>
          <w:ilvl w:val="0"/>
          <w:numId w:val="4"/>
        </w:numPr>
        <w:spacing w:line="600" w:lineRule="exact"/>
        <w:ind w:firstLine="600" w:firstLineChars="200"/>
        <w:rPr>
          <w:rFonts w:hint="eastAsia" w:ascii="黑体" w:hAnsi="黑体" w:eastAsia="黑体"/>
        </w:rPr>
      </w:pPr>
      <w:r>
        <w:rPr>
          <w:rFonts w:hint="eastAsia" w:ascii="黑体" w:hAnsi="黑体" w:eastAsia="黑体"/>
        </w:rPr>
        <w:t>主要经验及做法、存在的问题及原因分析</w:t>
      </w:r>
    </w:p>
    <w:p>
      <w:pPr>
        <w:numPr>
          <w:ilvl w:val="0"/>
          <w:numId w:val="0"/>
        </w:numPr>
        <w:spacing w:line="600" w:lineRule="exact"/>
        <w:ind w:firstLine="640" w:firstLineChars="200"/>
        <w:rPr>
          <w:rFonts w:hint="eastAsia" w:ascii="仿宋_GB2312"/>
          <w:sz w:val="32"/>
          <w:szCs w:val="32"/>
          <w:lang w:val="en-US" w:eastAsia="zh-CN"/>
        </w:rPr>
      </w:pPr>
      <w:r>
        <w:rPr>
          <w:rFonts w:hint="eastAsia" w:ascii="仿宋_GB2312"/>
          <w:sz w:val="32"/>
          <w:szCs w:val="32"/>
          <w:lang w:val="en-US" w:eastAsia="zh-CN"/>
        </w:rPr>
        <w:t>无</w:t>
      </w:r>
    </w:p>
    <w:p>
      <w:pPr>
        <w:numPr>
          <w:ilvl w:val="0"/>
          <w:numId w:val="4"/>
        </w:numPr>
        <w:spacing w:line="600" w:lineRule="exact"/>
        <w:ind w:left="0" w:leftChars="0" w:firstLine="600" w:firstLineChars="200"/>
        <w:rPr>
          <w:rFonts w:hint="eastAsia" w:ascii="黑体" w:hAnsi="黑体" w:eastAsia="黑体"/>
        </w:rPr>
      </w:pPr>
      <w:r>
        <w:rPr>
          <w:rFonts w:hint="eastAsia" w:ascii="黑体" w:hAnsi="黑体" w:eastAsia="黑体"/>
        </w:rPr>
        <w:t>有关建议</w:t>
      </w:r>
    </w:p>
    <w:p>
      <w:pPr>
        <w:numPr>
          <w:ilvl w:val="0"/>
          <w:numId w:val="0"/>
        </w:numPr>
        <w:spacing w:line="600" w:lineRule="exact"/>
        <w:ind w:firstLine="640" w:firstLineChars="200"/>
        <w:rPr>
          <w:rFonts w:hint="eastAsia" w:ascii="仿宋_GB2312"/>
          <w:sz w:val="32"/>
          <w:szCs w:val="32"/>
          <w:lang w:val="en-US" w:eastAsia="zh-CN"/>
        </w:rPr>
      </w:pPr>
      <w:r>
        <w:rPr>
          <w:rFonts w:hint="eastAsia" w:ascii="仿宋_GB2312"/>
          <w:sz w:val="32"/>
          <w:szCs w:val="32"/>
          <w:lang w:val="en-US" w:eastAsia="zh-CN"/>
        </w:rPr>
        <w:t>无</w:t>
      </w:r>
    </w:p>
    <w:p>
      <w:pPr>
        <w:numPr>
          <w:ilvl w:val="0"/>
          <w:numId w:val="4"/>
        </w:numPr>
        <w:spacing w:line="600" w:lineRule="exact"/>
        <w:ind w:left="0" w:leftChars="0" w:firstLine="600" w:firstLineChars="200"/>
        <w:rPr>
          <w:rFonts w:hint="eastAsia" w:ascii="黑体" w:hAnsi="黑体" w:eastAsia="黑体"/>
        </w:rPr>
      </w:pPr>
      <w:r>
        <w:rPr>
          <w:rFonts w:hint="eastAsia" w:ascii="黑体" w:hAnsi="黑体" w:eastAsia="黑体"/>
        </w:rPr>
        <w:t>其他需要说明的问题</w:t>
      </w:r>
    </w:p>
    <w:p>
      <w:pPr>
        <w:numPr>
          <w:ilvl w:val="0"/>
          <w:numId w:val="0"/>
        </w:numPr>
        <w:spacing w:line="600" w:lineRule="exact"/>
        <w:ind w:firstLine="640" w:firstLineChars="200"/>
        <w:rPr>
          <w:rFonts w:hint="eastAsia" w:ascii="仿宋_GB2312"/>
          <w:sz w:val="32"/>
          <w:szCs w:val="32"/>
          <w:lang w:val="en-US" w:eastAsia="zh-CN"/>
        </w:rPr>
      </w:pPr>
      <w:r>
        <w:rPr>
          <w:rFonts w:hint="eastAsia" w:ascii="仿宋_GB2312"/>
          <w:sz w:val="32"/>
          <w:szCs w:val="32"/>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5CD513"/>
    <w:multiLevelType w:val="singleLevel"/>
    <w:tmpl w:val="925CD513"/>
    <w:lvl w:ilvl="0" w:tentative="0">
      <w:start w:val="3"/>
      <w:numFmt w:val="decimal"/>
      <w:lvlText w:val="%1."/>
      <w:lvlJc w:val="left"/>
      <w:pPr>
        <w:tabs>
          <w:tab w:val="left" w:pos="312"/>
        </w:tabs>
      </w:pPr>
    </w:lvl>
  </w:abstractNum>
  <w:abstractNum w:abstractNumId="1">
    <w:nsid w:val="C885AA0F"/>
    <w:multiLevelType w:val="singleLevel"/>
    <w:tmpl w:val="C885AA0F"/>
    <w:lvl w:ilvl="0" w:tentative="0">
      <w:start w:val="5"/>
      <w:numFmt w:val="chineseCounting"/>
      <w:suff w:val="nothing"/>
      <w:lvlText w:val="%1、"/>
      <w:lvlJc w:val="left"/>
      <w:rPr>
        <w:rFonts w:hint="eastAsia"/>
      </w:rPr>
    </w:lvl>
  </w:abstractNum>
  <w:abstractNum w:abstractNumId="2">
    <w:nsid w:val="D6CB82D9"/>
    <w:multiLevelType w:val="singleLevel"/>
    <w:tmpl w:val="D6CB82D9"/>
    <w:lvl w:ilvl="0" w:tentative="0">
      <w:start w:val="2"/>
      <w:numFmt w:val="chineseCounting"/>
      <w:suff w:val="nothing"/>
      <w:lvlText w:val="（%1）"/>
      <w:lvlJc w:val="left"/>
      <w:rPr>
        <w:rFonts w:hint="eastAsia"/>
      </w:rPr>
    </w:lvl>
  </w:abstractNum>
  <w:abstractNum w:abstractNumId="3">
    <w:nsid w:val="4BB9F9A9"/>
    <w:multiLevelType w:val="singleLevel"/>
    <w:tmpl w:val="4BB9F9A9"/>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5AC9"/>
    <w:rsid w:val="000B4E42"/>
    <w:rsid w:val="0043448B"/>
    <w:rsid w:val="00535AC9"/>
    <w:rsid w:val="00E3118B"/>
    <w:rsid w:val="099E0ED9"/>
    <w:rsid w:val="0C55631E"/>
    <w:rsid w:val="0CBD5FFD"/>
    <w:rsid w:val="0D463D7B"/>
    <w:rsid w:val="1AA873BA"/>
    <w:rsid w:val="1C715D5F"/>
    <w:rsid w:val="22FD0CC5"/>
    <w:rsid w:val="28626C2F"/>
    <w:rsid w:val="2A433861"/>
    <w:rsid w:val="2A611FE9"/>
    <w:rsid w:val="376854D2"/>
    <w:rsid w:val="3C26461E"/>
    <w:rsid w:val="4191686F"/>
    <w:rsid w:val="4E6031FD"/>
    <w:rsid w:val="54D97B28"/>
    <w:rsid w:val="5C781F02"/>
    <w:rsid w:val="5C943EE4"/>
    <w:rsid w:val="644E369A"/>
    <w:rsid w:val="652B43A7"/>
    <w:rsid w:val="65D15233"/>
    <w:rsid w:val="6DEF0006"/>
    <w:rsid w:val="6F5065FA"/>
    <w:rsid w:val="71E46750"/>
    <w:rsid w:val="771B0074"/>
    <w:rsid w:val="79454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143</Words>
  <Characters>820</Characters>
  <Lines>6</Lines>
  <Paragraphs>1</Paragraphs>
  <TotalTime>0</TotalTime>
  <ScaleCrop>false</ScaleCrop>
  <LinksUpToDate>false</LinksUpToDate>
  <CharactersWithSpaces>962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Lenovo</cp:lastModifiedBy>
  <dcterms:modified xsi:type="dcterms:W3CDTF">2020-06-07T17:36:57Z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