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新疆维吾尔自</w:t>
      </w:r>
      <w:bookmarkStart w:id="0" w:name="_GoBack"/>
      <w:bookmarkEnd w:id="0"/>
      <w:r>
        <w:rPr>
          <w:rFonts w:hint="eastAsia" w:ascii="方正小标宋_GBK" w:hAnsi="华文中宋" w:eastAsia="方正小标宋_GBK" w:cs="宋体"/>
          <w:b/>
          <w:kern w:val="0"/>
          <w:sz w:val="48"/>
          <w:szCs w:val="48"/>
          <w:u w:val="none"/>
        </w:rPr>
        <w:t>治区巴州和静县信访局</w:t>
      </w: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项目名称：“访惠聚”第一书记和为民办实事经费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实施单位（公章）：和静县信访局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项目负责人（签章）：刘晓军</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2019</w:t>
      </w:r>
      <w:r>
        <w:rPr>
          <w:rFonts w:hint="eastAsia" w:hAnsi="宋体" w:eastAsia="仿宋_GB2312" w:cs="宋体"/>
          <w:kern w:val="0"/>
          <w:sz w:val="36"/>
          <w:szCs w:val="36"/>
        </w:rPr>
        <w:t>年</w:t>
      </w:r>
      <w:r>
        <w:rPr>
          <w:rFonts w:hAnsi="宋体" w:eastAsia="仿宋_GB2312" w:cs="宋体"/>
          <w:kern w:val="0"/>
          <w:sz w:val="36"/>
          <w:szCs w:val="36"/>
        </w:rPr>
        <w:t>1</w:t>
      </w:r>
      <w:r>
        <w:rPr>
          <w:rFonts w:hint="eastAsia" w:hAnsi="宋体" w:eastAsia="仿宋_GB2312" w:cs="宋体"/>
          <w:kern w:val="0"/>
          <w:sz w:val="36"/>
          <w:szCs w:val="36"/>
        </w:rPr>
        <w:t>月</w:t>
      </w:r>
      <w:r>
        <w:rPr>
          <w:rFonts w:hAnsi="宋体" w:eastAsia="仿宋_GB2312" w:cs="宋体"/>
          <w:kern w:val="0"/>
          <w:sz w:val="36"/>
          <w:szCs w:val="36"/>
        </w:rPr>
        <w:t>23</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（一）项目单位基本情况</w:t>
      </w:r>
    </w:p>
    <w:p>
      <w:pPr>
        <w:pStyle w:val="15"/>
        <w:shd w:val="clear" w:color="auto" w:fill="FFFFFF"/>
        <w:spacing w:line="560" w:lineRule="exact"/>
        <w:ind w:firstLine="480"/>
        <w:rPr>
          <w:rFonts w:hint="eastAsia" w:ascii="仿宋_GB2312" w:hAnsi="MS Sans Serif" w:eastAsia="仿宋_GB2312"/>
          <w:sz w:val="32"/>
          <w:szCs w:val="32"/>
        </w:rPr>
      </w:pPr>
      <w:r>
        <w:rPr>
          <w:rFonts w:hint="eastAsia" w:ascii="仿宋_GB2312" w:hAnsi="MS Sans Serif" w:eastAsia="仿宋_GB2312"/>
          <w:sz w:val="32"/>
          <w:szCs w:val="32"/>
        </w:rPr>
        <w:t>1、贯彻落实中共中央、国务院和自治区党委、自治区人民政府及上级主管部门关于信访工作的方针、政策和法规，并组织实施；指导全县的信访工作。2、总结、推广各乡镇、各部门的信访工作经验，提出改进和加强信访工作的意见和建议。</w:t>
      </w:r>
    </w:p>
    <w:p>
      <w:pPr>
        <w:pStyle w:val="15"/>
        <w:shd w:val="clear" w:color="auto" w:fill="FFFFFF"/>
        <w:spacing w:line="560" w:lineRule="exact"/>
        <w:rPr>
          <w:rFonts w:hint="eastAsia" w:ascii="仿宋_GB2312" w:hAnsi="MS Sans Serif" w:eastAsia="仿宋_GB2312"/>
          <w:sz w:val="32"/>
          <w:szCs w:val="32"/>
        </w:rPr>
      </w:pPr>
      <w:r>
        <w:rPr>
          <w:rFonts w:hint="eastAsia" w:ascii="仿宋_GB2312" w:hAnsi="MS Sans Serif" w:eastAsia="仿宋_GB2312"/>
          <w:sz w:val="32"/>
          <w:szCs w:val="32"/>
        </w:rPr>
        <w:t>3、代表和静县委、县人民政府受理人民群众给和静县党委、县人民政府及其主要领导人的来信，接待群众来访，为来信来访群众提供有关法律、法规和政策咨询服务。4、分析研究和静县信访工作形势，开展调查研究，征集群众建议，及时向和静县县委、和静县人民政府提供信访信息，并提出有关信访工作的建议和措施。5、承办上级领导机关、自治州党委和自治区人民政府领导交办的信访事项，督促检查领导批示件落实情况；向有关单位交办信访事项；组织和协调有关部门联合办案，会同处理疑难信访问题；督促检查重要信访事项的处理和落实。6、协调处理跨县市、跨部门的重要信访、群众集体上访和突发上访事件；督促检查、协调指导县直各县部门（单位）和各乡镇的信访工作。7、宣传和贯彻落实《信访条例》；负责全县信访业务指导工作，组织信访干部的培训，加强、指导县信访系统办公自动化建设。8、承担和静县信访工作领导小组办公室和静县处理信访突出问题及群体性事件联席会议办公室的日常工作；负责全县重大矛盾纠纷排查调处的组织协调工作，建立排查调查工作机制，掌握矛盾纠纷排查调处动态，负责对涉及全县有关行业、系统社会政治的重大问题进行督办。</w:t>
      </w:r>
    </w:p>
    <w:p>
      <w:pPr>
        <w:pStyle w:val="15"/>
        <w:shd w:val="clear" w:color="auto" w:fill="FFFFFF"/>
        <w:spacing w:line="560" w:lineRule="exact"/>
        <w:ind w:firstLine="480"/>
        <w:rPr>
          <w:rFonts w:hint="eastAsia" w:ascii="仿宋_GB2312" w:hAnsi="MS Sans Serif" w:eastAsia="仿宋_GB2312"/>
          <w:sz w:val="32"/>
          <w:szCs w:val="32"/>
        </w:rPr>
      </w:pPr>
      <w:r>
        <w:rPr>
          <w:rFonts w:hint="eastAsia" w:ascii="仿宋_GB2312" w:hAnsi="MS Sans Serif" w:eastAsia="仿宋_GB2312"/>
          <w:sz w:val="32"/>
          <w:szCs w:val="32"/>
        </w:rPr>
        <w:t>9、承担和静县县委、和静县人民政府交办的其它信访事项。</w:t>
      </w:r>
    </w:p>
    <w:p>
      <w:pPr>
        <w:pStyle w:val="15"/>
        <w:shd w:val="clear" w:color="auto" w:fill="FFFFFF"/>
        <w:spacing w:line="560" w:lineRule="exact"/>
        <w:ind w:firstLine="480"/>
        <w:rPr>
          <w:rFonts w:hint="eastAsia" w:ascii="仿宋_GB2312" w:hAnsi="MS Sans Serif" w:eastAsia="仿宋_GB2312"/>
          <w:sz w:val="32"/>
          <w:szCs w:val="32"/>
        </w:rPr>
      </w:pPr>
      <w:r>
        <w:rPr>
          <w:rFonts w:hint="eastAsia" w:ascii="仿宋_GB2312" w:hAnsi="MS Sans Serif" w:eastAsia="仿宋_GB2312"/>
          <w:sz w:val="32"/>
          <w:szCs w:val="32"/>
        </w:rPr>
        <w:t xml:space="preserve">    本单位属行政机关，核定编制数为8人，其中；行政编制4人，事业编制4人，现有实有人员9人，离退休人员3人。</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（二）项目预算绩效目标设定情况</w:t>
      </w:r>
    </w:p>
    <w:p>
      <w:pPr>
        <w:spacing w:line="540" w:lineRule="exact"/>
        <w:ind w:firstLine="564" w:firstLineChars="181"/>
        <w:rPr>
          <w:rStyle w:val="19"/>
          <w:rFonts w:ascii="仿宋_GB2312" w:hAnsi="仿宋" w:eastAsia="仿宋_GB2312"/>
          <w:b w:val="0"/>
          <w:spacing w:val="-4"/>
          <w:sz w:val="32"/>
          <w:szCs w:val="32"/>
        </w:rPr>
      </w:pPr>
      <w:r>
        <w:rPr>
          <w:rStyle w:val="19"/>
          <w:rFonts w:hint="eastAsia" w:ascii="仿宋" w:hAnsi="仿宋" w:eastAsia="仿宋"/>
          <w:b w:val="0"/>
          <w:spacing w:val="-4"/>
          <w:sz w:val="32"/>
          <w:szCs w:val="32"/>
        </w:rPr>
        <w:t>（</w:t>
      </w:r>
      <w:r>
        <w:rPr>
          <w:rStyle w:val="19"/>
          <w:rFonts w:hint="eastAsia" w:ascii="仿宋_GB2312" w:hAnsi="仿宋" w:eastAsia="仿宋_GB2312"/>
          <w:b w:val="0"/>
          <w:spacing w:val="-4"/>
          <w:sz w:val="32"/>
          <w:szCs w:val="32"/>
        </w:rPr>
        <w:t>包括预期目标及阶段性目标；项目基本性质、用途和主要内容、涉及范围）</w:t>
      </w:r>
    </w:p>
    <w:p>
      <w:pPr>
        <w:spacing w:line="540" w:lineRule="exact"/>
        <w:ind w:firstLine="564" w:firstLineChars="181"/>
        <w:rPr>
          <w:rStyle w:val="19"/>
          <w:rFonts w:ascii="仿宋_GB2312" w:hAnsi="仿宋" w:eastAsia="仿宋_GB2312"/>
          <w:b w:val="0"/>
          <w:spacing w:val="-4"/>
          <w:sz w:val="32"/>
          <w:szCs w:val="32"/>
        </w:rPr>
      </w:pPr>
      <w:r>
        <w:rPr>
          <w:rStyle w:val="19"/>
          <w:rFonts w:ascii="仿宋_GB2312" w:hAnsi="仿宋" w:eastAsia="仿宋_GB2312"/>
          <w:b w:val="0"/>
          <w:spacing w:val="-4"/>
          <w:sz w:val="32"/>
          <w:szCs w:val="32"/>
        </w:rPr>
        <w:t>1</w:t>
      </w:r>
      <w:r>
        <w:rPr>
          <w:rStyle w:val="19"/>
          <w:rFonts w:hint="eastAsia" w:ascii="仿宋_GB2312" w:hAnsi="仿宋" w:eastAsia="仿宋_GB2312"/>
          <w:b w:val="0"/>
          <w:spacing w:val="-4"/>
          <w:sz w:val="32"/>
          <w:szCs w:val="32"/>
        </w:rPr>
        <w:t>、项目基本性质</w:t>
      </w:r>
    </w:p>
    <w:p>
      <w:pPr>
        <w:spacing w:line="540" w:lineRule="exact"/>
        <w:ind w:firstLine="564" w:firstLineChars="181"/>
        <w:rPr>
          <w:rStyle w:val="19"/>
          <w:rFonts w:ascii="仿宋_GB2312" w:eastAsia="仿宋_GB2312"/>
          <w:b w:val="0"/>
          <w:spacing w:val="-4"/>
          <w:sz w:val="32"/>
          <w:szCs w:val="32"/>
        </w:rPr>
      </w:pPr>
      <w:r>
        <w:rPr>
          <w:rStyle w:val="19"/>
          <w:rFonts w:hint="eastAsia" w:ascii="仿宋_GB2312" w:eastAsia="仿宋_GB2312"/>
          <w:b w:val="0"/>
          <w:spacing w:val="-4"/>
          <w:sz w:val="32"/>
          <w:szCs w:val="32"/>
        </w:rPr>
        <w:t>主要用于做群众工作，不得用于驻村工作队购置交通工具、办公设备、通讯设备、生活用品、驻村补助以及其他任何工作队自身开支。</w:t>
      </w:r>
    </w:p>
    <w:p>
      <w:pPr>
        <w:spacing w:line="540" w:lineRule="exact"/>
        <w:ind w:firstLine="564" w:firstLineChars="181"/>
        <w:rPr>
          <w:rStyle w:val="19"/>
          <w:rFonts w:ascii="仿宋_GB2312" w:eastAsia="仿宋_GB2312"/>
          <w:b w:val="0"/>
          <w:spacing w:val="-4"/>
          <w:sz w:val="32"/>
          <w:szCs w:val="32"/>
        </w:rPr>
      </w:pP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、项目基本性质和用途。</w:t>
      </w:r>
    </w:p>
    <w:p>
      <w:pPr>
        <w:spacing w:line="540" w:lineRule="exact"/>
        <w:ind w:firstLine="564" w:firstLineChars="181"/>
        <w:rPr>
          <w:rStyle w:val="19"/>
          <w:rFonts w:ascii="仿宋_GB2312" w:eastAsia="仿宋_GB2312"/>
          <w:b w:val="0"/>
          <w:spacing w:val="-4"/>
          <w:sz w:val="32"/>
          <w:szCs w:val="32"/>
        </w:rPr>
      </w:pPr>
      <w:r>
        <w:rPr>
          <w:rStyle w:val="19"/>
          <w:rFonts w:hint="eastAsia" w:ascii="仿宋_GB2312" w:eastAsia="仿宋_GB2312"/>
          <w:b w:val="0"/>
          <w:spacing w:val="-4"/>
          <w:sz w:val="32"/>
          <w:szCs w:val="32"/>
        </w:rPr>
        <w:t>实施为民办实事项目，涉及群众生产、生活等</w:t>
      </w:r>
      <w:r>
        <w:rPr>
          <w:rStyle w:val="19"/>
          <w:rFonts w:ascii="仿宋_GB2312" w:eastAsia="仿宋_GB2312"/>
          <w:b w:val="0"/>
          <w:spacing w:val="-4"/>
          <w:sz w:val="32"/>
          <w:szCs w:val="32"/>
        </w:rPr>
        <w:t>20</w:t>
      </w:r>
      <w:r>
        <w:rPr>
          <w:rStyle w:val="19"/>
          <w:rFonts w:hint="eastAsia" w:ascii="仿宋_GB2312" w:eastAsia="仿宋_GB2312"/>
          <w:b w:val="0"/>
          <w:spacing w:val="-4"/>
          <w:sz w:val="32"/>
          <w:szCs w:val="32"/>
        </w:rPr>
        <w:t>多个方面，较好地发挥了“四两拨千斤”的作用，使基层群众一些实际困难得到及时解决，生产生活条件得到改善和提升，群众对村（社区）党组织满意度进一步提高。</w:t>
      </w:r>
    </w:p>
    <w:p>
      <w:pPr>
        <w:spacing w:line="540" w:lineRule="exact"/>
        <w:ind w:firstLine="564" w:firstLineChars="181"/>
        <w:rPr>
          <w:rStyle w:val="19"/>
          <w:rFonts w:ascii="仿宋_GB2312" w:eastAsia="仿宋_GB2312"/>
          <w:b w:val="0"/>
          <w:spacing w:val="-4"/>
          <w:sz w:val="32"/>
          <w:szCs w:val="32"/>
        </w:rPr>
      </w:pPr>
      <w:r>
        <w:rPr>
          <w:rStyle w:val="19"/>
          <w:rFonts w:ascii="仿宋_GB2312" w:eastAsia="仿宋_GB2312"/>
          <w:b w:val="0"/>
          <w:spacing w:val="-4"/>
          <w:sz w:val="32"/>
          <w:szCs w:val="32"/>
        </w:rPr>
        <w:t>3</w:t>
      </w:r>
      <w:r>
        <w:rPr>
          <w:rStyle w:val="19"/>
          <w:rFonts w:hint="eastAsia" w:ascii="仿宋_GB2312" w:eastAsia="仿宋_GB2312"/>
          <w:b w:val="0"/>
          <w:spacing w:val="-4"/>
          <w:sz w:val="32"/>
          <w:szCs w:val="32"/>
        </w:rPr>
        <w:t>、项目主要内容及涉及范围。</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用于弱势群体帮扶和为群众办好事实事所占资金比重应达到三分之二以上，用于发展村（社区）公益事业方面的资金不得超过三分之一”的要求。</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为民办实事经费重点村（社区）</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万元，其他村（社区）</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万元。</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（一）项目资金安排落实、总投入等情况分析。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项目安排财政资金</w:t>
      </w:r>
      <w:r>
        <w:rPr>
          <w:rStyle w:val="19"/>
          <w:rFonts w:ascii="仿宋_GB2312" w:eastAsia="仿宋_GB2312"/>
          <w:b w:val="0"/>
          <w:spacing w:val="-4"/>
          <w:sz w:val="32"/>
          <w:szCs w:val="32"/>
        </w:rPr>
        <w:t>17</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ascii="仿宋_GB2312" w:eastAsia="仿宋_GB2312"/>
          <w:b w:val="0"/>
          <w:spacing w:val="-4"/>
          <w:sz w:val="32"/>
          <w:szCs w:val="32"/>
        </w:rPr>
        <w:t>17</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（二）项目资金实际使用情况分析。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项目实际使用财政资金</w:t>
      </w:r>
      <w:r>
        <w:rPr>
          <w:rStyle w:val="19"/>
          <w:rFonts w:ascii="仿宋_GB2312" w:eastAsia="仿宋_GB2312"/>
          <w:b w:val="0"/>
          <w:spacing w:val="-4"/>
          <w:sz w:val="32"/>
          <w:szCs w:val="32"/>
        </w:rPr>
        <w:t>4.67</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ascii="仿宋_GB2312" w:eastAsia="仿宋_GB2312"/>
          <w:b w:val="0"/>
          <w:spacing w:val="-4"/>
          <w:sz w:val="32"/>
          <w:szCs w:val="32"/>
        </w:rPr>
        <w:t>4.67</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（三）项目资金管理情况分析。</w:t>
      </w:r>
    </w:p>
    <w:p>
      <w:pPr>
        <w:spacing w:line="54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严格执行财务管理制度，一是严格执行资金使用申请程序。首先由具体负责人员提供相关方案和经费预算，再由分管领导和财务人员审核，上报和静县信访局党支部会讨论，最后落实；二是严格执行资金使用各项标准；三是严格执行资金使用报账制度，确保资金使用、管理符合财务制度规定，发挥最大使用效益。</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（一）项目组织情况分析。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项目安排财政资金</w:t>
      </w:r>
      <w:r>
        <w:rPr>
          <w:rStyle w:val="19"/>
          <w:rFonts w:hint="eastAsia" w:ascii="仿宋_GB2312" w:eastAsia="仿宋_GB2312"/>
          <w:b w:val="0"/>
          <w:spacing w:val="-4"/>
          <w:sz w:val="32"/>
          <w:szCs w:val="32"/>
          <w:lang w:val="en-US" w:eastAsia="zh-CN"/>
        </w:rPr>
        <w:t>4.67</w:t>
      </w:r>
      <w:r>
        <w:rPr>
          <w:rStyle w:val="19"/>
          <w:rFonts w:hint="eastAsia" w:ascii="仿宋_GB2312" w:eastAsia="仿宋_GB2312"/>
          <w:b w:val="0"/>
          <w:spacing w:val="-4"/>
          <w:sz w:val="32"/>
          <w:szCs w:val="32"/>
        </w:rPr>
        <w:t>万元，其中上级财政拨款</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万元，为本级财政安排</w:t>
      </w:r>
      <w:r>
        <w:rPr>
          <w:rStyle w:val="19"/>
          <w:rFonts w:hint="eastAsia" w:ascii="仿宋_GB2312" w:eastAsia="仿宋_GB2312"/>
          <w:b w:val="0"/>
          <w:spacing w:val="-4"/>
          <w:sz w:val="32"/>
          <w:szCs w:val="32"/>
          <w:lang w:val="en-US" w:eastAsia="zh-CN"/>
        </w:rPr>
        <w:t>4.67</w:t>
      </w:r>
      <w:r>
        <w:rPr>
          <w:rStyle w:val="19"/>
          <w:rFonts w:hint="eastAsia" w:ascii="仿宋_GB2312" w:eastAsia="仿宋_GB2312"/>
          <w:b w:val="0"/>
          <w:spacing w:val="-4"/>
          <w:sz w:val="32"/>
          <w:szCs w:val="32"/>
        </w:rPr>
        <w:t>万元，财政资金以外用于项目的其他资金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万元，自筹资金</w:t>
      </w:r>
      <w:r>
        <w:rPr>
          <w:rStyle w:val="19"/>
          <w:rFonts w:ascii="仿宋_GB2312" w:eastAsia="仿宋_GB2312"/>
          <w:b w:val="0"/>
          <w:spacing w:val="-4"/>
          <w:sz w:val="32"/>
          <w:szCs w:val="32"/>
        </w:rPr>
        <w:t>0</w:t>
      </w:r>
      <w:r>
        <w:rPr>
          <w:rStyle w:val="19"/>
          <w:rFonts w:hint="eastAsia" w:ascii="仿宋_GB2312" w:eastAsia="仿宋_GB2312"/>
          <w:b w:val="0"/>
          <w:spacing w:val="-4"/>
          <w:sz w:val="32"/>
          <w:szCs w:val="32"/>
        </w:rPr>
        <w:t>万元。实施过程中没有进行调整，已完成验收。</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（二）项目管理情况分析。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严格执行财务管理制度，一是严格执行资金使用申请程序。首先由具体负责人员提供相关方案和经费预算，再由分管领导和财务人员审核，最后大家开会讨论，最后落实；二是严格执行资金使用各项标准；三是严格执行资金使用报账制度，确保资金使用、管理符合财务制度规定，发挥最大使用效益。</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（一）项目绩效目标完成情况分析</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项目的经济性分析。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）项目成本（预算）控制情况。我局严格控制县访惠聚为民办实事各项经费及配套经费项目的成本，经估算，本项目总投资为</w:t>
      </w:r>
      <w:r>
        <w:rPr>
          <w:rStyle w:val="19"/>
          <w:rFonts w:hint="eastAsia" w:ascii="仿宋_GB2312" w:eastAsia="仿宋_GB2312"/>
          <w:b w:val="0"/>
          <w:spacing w:val="-4"/>
          <w:sz w:val="32"/>
          <w:szCs w:val="32"/>
          <w:lang w:val="en-US" w:eastAsia="zh-CN"/>
        </w:rPr>
        <w:t>4.67</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）项目成本（预算）节约情况。为保证访惠聚为民办实事及工作经费合理利用，我局严格控制每一笔项目经费，该项目预算报审价</w:t>
      </w:r>
      <w:r>
        <w:rPr>
          <w:rStyle w:val="19"/>
          <w:rFonts w:hint="eastAsia" w:ascii="仿宋_GB2312" w:eastAsia="仿宋_GB2312"/>
          <w:b w:val="0"/>
          <w:spacing w:val="-4"/>
          <w:sz w:val="32"/>
          <w:szCs w:val="32"/>
          <w:lang w:val="en-US" w:eastAsia="zh-CN"/>
        </w:rPr>
        <w:t>4.67</w:t>
      </w:r>
      <w:r>
        <w:rPr>
          <w:rStyle w:val="19"/>
          <w:rFonts w:hint="eastAsia" w:ascii="仿宋_GB2312" w:eastAsia="仿宋_GB2312"/>
          <w:b w:val="0"/>
          <w:spacing w:val="-4"/>
          <w:sz w:val="32"/>
          <w:szCs w:val="32"/>
        </w:rPr>
        <w:t>万元。</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项目的效率性分析。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的实施进度。为了科学组织项目实施过程各阶段的工作，合理安排项目资金，保证项目按计划进行，发挥社会经济效益，根据项目的预算及实际情况，我局拟定了项目的全年实施计划，确保项目按计划顺利的开展。</w:t>
      </w:r>
    </w:p>
    <w:p>
      <w:pPr>
        <w:spacing w:line="540" w:lineRule="exact"/>
        <w:ind w:firstLine="567"/>
        <w:rPr>
          <w:rStyle w:val="19"/>
          <w:rFonts w:ascii="仿宋_GB2312" w:eastAsia="仿宋_GB2312"/>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）项目完成质量。我局访惠聚为民办实事及工作经费项目前期准备工作充分，建设资金到位及时，按计划开展访惠聚为民办实事各项活动，按进度拨付款项，完成质量良好。</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3.</w:t>
      </w:r>
      <w:r>
        <w:rPr>
          <w:rStyle w:val="19"/>
          <w:rFonts w:hint="eastAsia" w:ascii="仿宋_GB2312" w:eastAsia="仿宋_GB2312"/>
          <w:b w:val="0"/>
          <w:spacing w:val="-4"/>
          <w:sz w:val="32"/>
          <w:szCs w:val="32"/>
        </w:rPr>
        <w:t>项目的效益性分析。</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1</w:t>
      </w:r>
      <w:r>
        <w:rPr>
          <w:rStyle w:val="19"/>
          <w:rFonts w:hint="eastAsia" w:ascii="仿宋_GB2312" w:eastAsia="仿宋_GB2312"/>
          <w:b w:val="0"/>
          <w:spacing w:val="-4"/>
          <w:sz w:val="32"/>
          <w:szCs w:val="32"/>
        </w:rPr>
        <w:t>）项目预期目标完成程度。我局县访惠聚为民办实事及工作各项经费及配套经费项目预期目标为待项目施行后，为改善已经使用为民办实事工作经费</w:t>
      </w:r>
      <w:r>
        <w:rPr>
          <w:rStyle w:val="19"/>
          <w:rFonts w:ascii="仿宋_GB2312" w:eastAsia="仿宋_GB2312"/>
          <w:b w:val="0"/>
          <w:spacing w:val="-4"/>
          <w:sz w:val="32"/>
          <w:szCs w:val="32"/>
        </w:rPr>
        <w:t>4.67</w:t>
      </w:r>
      <w:r>
        <w:rPr>
          <w:rStyle w:val="19"/>
          <w:rFonts w:hint="eastAsia" w:ascii="仿宋_GB2312" w:eastAsia="仿宋_GB2312"/>
          <w:b w:val="0"/>
          <w:spacing w:val="-4"/>
          <w:sz w:val="32"/>
          <w:szCs w:val="32"/>
        </w:rPr>
        <w:t>万元，主要用于走访解决困难群众生活等问题和组织开展各类活动及培训，组织群众参加学习、党内激励关怀等方面。</w:t>
      </w:r>
    </w:p>
    <w:p>
      <w:pPr>
        <w:spacing w:line="540" w:lineRule="exact"/>
        <w:ind w:firstLine="567"/>
        <w:rPr>
          <w:rStyle w:val="19"/>
          <w:rFonts w:ascii="仿宋_GB2312" w:eastAsia="仿宋_GB2312"/>
          <w:b w:val="0"/>
          <w:spacing w:val="-4"/>
          <w:sz w:val="32"/>
          <w:szCs w:val="32"/>
        </w:rPr>
      </w:pPr>
    </w:p>
    <w:p>
      <w:pPr>
        <w:spacing w:line="540" w:lineRule="exact"/>
        <w:ind w:firstLine="567"/>
        <w:rPr>
          <w:rStyle w:val="19"/>
          <w:rFonts w:ascii="仿宋_GB2312" w:eastAsia="仿宋_GB2312"/>
          <w:b w:val="0"/>
          <w:spacing w:val="-4"/>
          <w:sz w:val="32"/>
          <w:szCs w:val="32"/>
        </w:rPr>
      </w:pPr>
    </w:p>
    <w:p>
      <w:pPr>
        <w:spacing w:line="540" w:lineRule="exact"/>
        <w:ind w:firstLine="567"/>
        <w:rPr>
          <w:rStyle w:val="19"/>
          <w:rFonts w:ascii="仿宋_GB2312" w:eastAsia="仿宋_GB2312"/>
          <w:b w:val="0"/>
          <w:spacing w:val="-4"/>
          <w:sz w:val="32"/>
          <w:szCs w:val="32"/>
        </w:rPr>
      </w:pP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w:t>
      </w:r>
      <w:r>
        <w:rPr>
          <w:rStyle w:val="19"/>
          <w:rFonts w:ascii="仿宋_GB2312" w:eastAsia="仿宋_GB2312"/>
          <w:b w:val="0"/>
          <w:spacing w:val="-4"/>
          <w:sz w:val="32"/>
          <w:szCs w:val="32"/>
        </w:rPr>
        <w:t>2</w:t>
      </w:r>
      <w:r>
        <w:rPr>
          <w:rStyle w:val="19"/>
          <w:rFonts w:hint="eastAsia" w:ascii="仿宋_GB2312" w:eastAsia="仿宋_GB2312"/>
          <w:b w:val="0"/>
          <w:spacing w:val="-4"/>
          <w:sz w:val="32"/>
          <w:szCs w:val="32"/>
        </w:rPr>
        <w:t>）项目实施对经济和社会的影响。现已走群众1728户6309人次，走访慰问群众119户408次，真心实意为群众办实事好事200余件，帮助困难适龄儿童就学6人，帮助困难大学生6户6人次，协助开展</w:t>
      </w:r>
      <w:r>
        <w:rPr>
          <w:rStyle w:val="19"/>
          <w:rFonts w:ascii="仿宋_GB2312" w:eastAsia="仿宋_GB2312"/>
          <w:b w:val="0"/>
          <w:spacing w:val="-4"/>
          <w:sz w:val="32"/>
          <w:szCs w:val="32"/>
        </w:rPr>
        <w:t>“</w:t>
      </w:r>
      <w:r>
        <w:rPr>
          <w:rStyle w:val="19"/>
          <w:rFonts w:hint="eastAsia" w:ascii="仿宋_GB2312" w:eastAsia="仿宋_GB2312"/>
          <w:b w:val="0"/>
          <w:spacing w:val="-4"/>
          <w:sz w:val="32"/>
          <w:szCs w:val="32"/>
        </w:rPr>
        <w:t>四项活动</w:t>
      </w:r>
      <w:r>
        <w:rPr>
          <w:rStyle w:val="19"/>
          <w:rFonts w:ascii="仿宋_GB2312" w:eastAsia="仿宋_GB2312"/>
          <w:b w:val="0"/>
          <w:spacing w:val="-4"/>
          <w:sz w:val="32"/>
          <w:szCs w:val="32"/>
        </w:rPr>
        <w:t>”</w:t>
      </w:r>
      <w:r>
        <w:rPr>
          <w:rStyle w:val="19"/>
          <w:rFonts w:hint="eastAsia" w:ascii="仿宋_GB2312" w:eastAsia="仿宋_GB2312"/>
          <w:b w:val="0"/>
          <w:spacing w:val="-4"/>
          <w:sz w:val="32"/>
          <w:szCs w:val="32"/>
        </w:rPr>
        <w:t>56次。为我县经济持续发展和社会稳定创造和提供良好的安全保障环境。</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4.</w:t>
      </w:r>
      <w:r>
        <w:rPr>
          <w:rStyle w:val="19"/>
          <w:rFonts w:hint="eastAsia" w:ascii="仿宋_GB2312" w:eastAsia="仿宋_GB2312"/>
          <w:b w:val="0"/>
          <w:spacing w:val="-4"/>
          <w:sz w:val="32"/>
          <w:szCs w:val="32"/>
        </w:rPr>
        <w:t>项目的可持续性分析。</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为民办实事项目，涉及群众生产、生活等方面，较好地发挥了</w:t>
      </w:r>
      <w:r>
        <w:rPr>
          <w:rStyle w:val="19"/>
          <w:rFonts w:ascii="仿宋_GB2312" w:eastAsia="仿宋_GB2312"/>
          <w:b w:val="0"/>
          <w:spacing w:val="-4"/>
          <w:sz w:val="32"/>
          <w:szCs w:val="32"/>
        </w:rPr>
        <w:t>“</w:t>
      </w:r>
      <w:r>
        <w:rPr>
          <w:rStyle w:val="19"/>
          <w:rFonts w:hint="eastAsia" w:ascii="仿宋_GB2312" w:eastAsia="仿宋_GB2312"/>
          <w:b w:val="0"/>
          <w:spacing w:val="-4"/>
          <w:sz w:val="32"/>
          <w:szCs w:val="32"/>
        </w:rPr>
        <w:t>四两拨千斤</w:t>
      </w:r>
      <w:r>
        <w:rPr>
          <w:rStyle w:val="19"/>
          <w:rFonts w:ascii="仿宋_GB2312" w:eastAsia="仿宋_GB2312"/>
          <w:b w:val="0"/>
          <w:spacing w:val="-4"/>
          <w:sz w:val="32"/>
          <w:szCs w:val="32"/>
        </w:rPr>
        <w:t>”</w:t>
      </w:r>
      <w:r>
        <w:rPr>
          <w:rStyle w:val="19"/>
          <w:rFonts w:hint="eastAsia" w:ascii="仿宋_GB2312" w:eastAsia="仿宋_GB2312"/>
          <w:b w:val="0"/>
          <w:spacing w:val="-4"/>
          <w:sz w:val="32"/>
          <w:szCs w:val="32"/>
        </w:rPr>
        <w:t>的作用，使基层群众一些实际困难得到及时解决，生产生活条件得到改善和提升，群众对村（社区）党组织满意度进一步提高。</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（一）后续工作计划</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目前项目预算的各项工作均已开展，我县访惠聚为民办实事及工作经费得到了进一步完善，推动经济社会稳定发展，创造和提供了良好的安全保障环境。</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（二）主要经验及做法、存在问题和建议</w:t>
      </w:r>
    </w:p>
    <w:p>
      <w:pPr>
        <w:spacing w:line="540" w:lineRule="exact"/>
        <w:ind w:firstLine="567"/>
        <w:rPr>
          <w:rStyle w:val="19"/>
          <w:rFonts w:ascii="仿宋_GB2312" w:eastAsia="仿宋_GB2312"/>
          <w:b w:val="0"/>
          <w:spacing w:val="-4"/>
          <w:sz w:val="32"/>
          <w:szCs w:val="32"/>
        </w:rPr>
      </w:pPr>
      <w:r>
        <w:rPr>
          <w:rStyle w:val="19"/>
          <w:rFonts w:ascii="仿宋_GB2312" w:eastAsia="仿宋_GB2312"/>
          <w:b w:val="0"/>
          <w:spacing w:val="-4"/>
          <w:sz w:val="32"/>
          <w:szCs w:val="32"/>
        </w:rPr>
        <w:t>2018</w:t>
      </w:r>
      <w:r>
        <w:rPr>
          <w:rStyle w:val="19"/>
          <w:rFonts w:hint="eastAsia" w:ascii="仿宋_GB2312" w:eastAsia="仿宋_GB2312"/>
          <w:b w:val="0"/>
          <w:spacing w:val="-4"/>
          <w:sz w:val="32"/>
          <w:szCs w:val="32"/>
        </w:rPr>
        <w:t>年，我局“访汇聚”工作组紧紧围绕年初制定的工作方案，切实履行职责，主动积极作为，加大入户走访力度，走访解决困难群众生活等问题，组织开展各类活动及培训，组织群众参加学习，宣传好党的惠民政策，及时了解和掌握群众所盼所需，以实际行动以心换心，加深干群关系，取得了良好效果。</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（三）其他</w:t>
      </w:r>
    </w:p>
    <w:p>
      <w:pPr>
        <w:spacing w:line="460" w:lineRule="exact"/>
        <w:ind w:firstLine="624" w:firstLineChars="200"/>
        <w:rPr>
          <w:rStyle w:val="19"/>
          <w:rFonts w:ascii="仿宋_GB2312" w:eastAsia="仿宋_GB2312"/>
          <w:b w:val="0"/>
          <w:spacing w:val="-4"/>
          <w:sz w:val="32"/>
          <w:szCs w:val="32"/>
        </w:rPr>
      </w:pPr>
      <w:r>
        <w:rPr>
          <w:rStyle w:val="19"/>
          <w:rFonts w:hint="eastAsia" w:ascii="仿宋_GB2312" w:eastAsia="仿宋_GB2312"/>
          <w:b w:val="0"/>
          <w:spacing w:val="-4"/>
          <w:sz w:val="32"/>
          <w:szCs w:val="32"/>
        </w:rPr>
        <w:t>在本年度项目资金实施基础上，通过努力，使村级基础设施得到改善，把关爱帮扶</w:t>
      </w:r>
      <w:r>
        <w:rPr>
          <w:rStyle w:val="19"/>
          <w:rFonts w:ascii="仿宋_GB2312" w:eastAsia="仿宋_GB2312"/>
          <w:b w:val="0"/>
          <w:spacing w:val="-4"/>
          <w:sz w:val="32"/>
          <w:szCs w:val="32"/>
        </w:rPr>
        <w:t>，融入群众</w:t>
      </w:r>
      <w:r>
        <w:rPr>
          <w:rStyle w:val="19"/>
          <w:rFonts w:hint="eastAsia" w:ascii="仿宋_GB2312" w:eastAsia="仿宋_GB2312"/>
          <w:b w:val="0"/>
          <w:spacing w:val="-4"/>
          <w:sz w:val="32"/>
          <w:szCs w:val="32"/>
        </w:rPr>
        <w:t>，拉近群众的工作做到实处。在今后的工作中，我们将继续按照县委、县政府的工作要求，发扬艰苦奋斗的工作作风、纠正不足，结合实际坚持真心为民、真情帮扶，精心组织、大胆实践、扎实推进，充分发挥工作优势，努力把项目资金管好用好，把和静县克再西路社区</w:t>
      </w:r>
      <w:r>
        <w:rPr>
          <w:rStyle w:val="19"/>
          <w:rFonts w:ascii="仿宋_GB2312" w:eastAsia="仿宋_GB2312"/>
          <w:b w:val="0"/>
          <w:spacing w:val="-4"/>
          <w:sz w:val="32"/>
          <w:szCs w:val="32"/>
        </w:rPr>
        <w:t>“访惠聚”</w:t>
      </w:r>
      <w:r>
        <w:rPr>
          <w:rStyle w:val="19"/>
          <w:rFonts w:hint="eastAsia" w:ascii="仿宋_GB2312" w:eastAsia="仿宋_GB2312"/>
          <w:b w:val="0"/>
          <w:spacing w:val="-4"/>
          <w:sz w:val="32"/>
          <w:szCs w:val="32"/>
        </w:rPr>
        <w:t>工作做好做实。</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pStyle w:val="15"/>
        <w:widowControl/>
        <w:wordWrap w:val="0"/>
        <w:spacing w:line="600" w:lineRule="atLeast"/>
        <w:ind w:firstLine="624" w:firstLineChars="200"/>
        <w:jc w:val="left"/>
        <w:rPr>
          <w:rStyle w:val="19"/>
          <w:rFonts w:ascii="仿宋_GB2312" w:eastAsia="仿宋_GB2312"/>
          <w:b w:val="0"/>
          <w:spacing w:val="-4"/>
          <w:sz w:val="32"/>
          <w:szCs w:val="32"/>
        </w:rPr>
      </w:pPr>
      <w:r>
        <w:rPr>
          <w:rStyle w:val="19"/>
          <w:rFonts w:hint="eastAsia" w:ascii="仿宋_GB2312" w:eastAsia="仿宋_GB2312"/>
          <w:b w:val="0"/>
          <w:spacing w:val="-4"/>
          <w:sz w:val="32"/>
          <w:szCs w:val="32"/>
        </w:rPr>
        <w:t>包括评价基础数据收集、资料来源和依据等佐证材料情况，项目现场勘验检查核实等情况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_GB2312" w:eastAsia="仿宋_GB2312"/>
          <w:b w:val="0"/>
          <w:spacing w:val="-4"/>
          <w:sz w:val="32"/>
          <w:szCs w:val="32"/>
        </w:rPr>
      </w:pPr>
      <w:r>
        <w:rPr>
          <w:rStyle w:val="19"/>
          <w:rFonts w:hint="eastAsia" w:ascii="仿宋_GB2312" w:eastAsia="仿宋_GB2312"/>
          <w:b w:val="0"/>
          <w:spacing w:val="-4"/>
          <w:sz w:val="32"/>
          <w:szCs w:val="32"/>
        </w:rPr>
        <w:t>《和静县信访局财政项目支出绩效自评表》</w:t>
      </w:r>
    </w:p>
    <w:p>
      <w:pPr>
        <w:widowControl/>
        <w:rPr>
          <w:rFonts w:ascii="宋体" w:cs="宋体"/>
          <w:b/>
          <w:bCs/>
          <w:kern w:val="0"/>
          <w:sz w:val="32"/>
          <w:szCs w:val="32"/>
        </w:rPr>
      </w:pPr>
    </w:p>
    <w:tbl>
      <w:tblPr>
        <w:tblStyle w:val="17"/>
        <w:tblW w:w="9020" w:type="dxa"/>
        <w:tblInd w:w="0" w:type="dxa"/>
        <w:tblLayout w:type="fixed"/>
        <w:tblCellMar>
          <w:top w:w="0" w:type="dxa"/>
          <w:left w:w="108" w:type="dxa"/>
          <w:bottom w:w="0" w:type="dxa"/>
          <w:right w:w="108" w:type="dxa"/>
        </w:tblCellMar>
      </w:tblPr>
      <w:tblGrid>
        <w:gridCol w:w="720"/>
        <w:gridCol w:w="1140"/>
        <w:gridCol w:w="1360"/>
        <w:gridCol w:w="2187"/>
        <w:gridCol w:w="1833"/>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vAlign w:val="center"/>
          </w:tcPr>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ascii="宋体" w:cs="宋体"/>
                <w:b/>
                <w:bCs/>
                <w:kern w:val="0"/>
                <w:sz w:val="32"/>
                <w:szCs w:val="32"/>
              </w:rPr>
            </w:pPr>
            <w:r>
              <w:rPr>
                <w:rFonts w:hint="eastAsia" w:ascii="宋体" w:hAnsi="宋体" w:cs="宋体"/>
                <w:b/>
                <w:bCs/>
                <w:kern w:val="0"/>
                <w:sz w:val="32"/>
                <w:szCs w:val="32"/>
              </w:rPr>
              <w:t>新疆维吾尔自治区巴州和静县信访局</w:t>
            </w:r>
          </w:p>
          <w:p>
            <w:pPr>
              <w:widowControl/>
              <w:jc w:val="center"/>
              <w:rPr>
                <w:rFonts w:asci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rFonts w:ascii="宋体" w:hAnsi="宋体" w:cs="宋体"/>
                <w:kern w:val="0"/>
                <w:sz w:val="24"/>
              </w:rPr>
              <w:t>2018</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项目名称</w:t>
            </w:r>
          </w:p>
        </w:tc>
        <w:tc>
          <w:tcPr>
            <w:tcW w:w="5800"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“访惠聚”第一书记和为民办实事经费　</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8"/>
                <w:szCs w:val="28"/>
              </w:rPr>
            </w:pPr>
            <w:r>
              <w:rPr>
                <w:rFonts w:hint="eastAsia" w:ascii="宋体" w:hAnsi="宋体" w:cs="宋体"/>
                <w:kern w:val="0"/>
                <w:sz w:val="20"/>
                <w:szCs w:val="20"/>
              </w:rPr>
              <w:t>　和静县信访局</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预算数：</w:t>
            </w:r>
          </w:p>
        </w:tc>
        <w:tc>
          <w:tcPr>
            <w:tcW w:w="2187" w:type="dxa"/>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4.67</w:t>
            </w:r>
            <w:r>
              <w:rPr>
                <w:rFonts w:hint="eastAsia" w:ascii="宋体" w:hAnsi="宋体" w:cs="宋体"/>
                <w:kern w:val="0"/>
                <w:sz w:val="20"/>
                <w:szCs w:val="20"/>
              </w:rPr>
              <w:t>万元</w:t>
            </w:r>
          </w:p>
        </w:tc>
        <w:tc>
          <w:tcPr>
            <w:tcW w:w="1833"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4.67</w:t>
            </w:r>
            <w:r>
              <w:rPr>
                <w:rFonts w:hint="eastAsia" w:ascii="宋体" w:hAnsi="宋体" w:cs="宋体"/>
                <w:kern w:val="0"/>
                <w:sz w:val="20"/>
                <w:szCs w:val="20"/>
              </w:rPr>
              <w:t>万元</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2187" w:type="dxa"/>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4.67</w:t>
            </w:r>
            <w:r>
              <w:rPr>
                <w:rFonts w:hint="eastAsia" w:ascii="宋体" w:hAnsi="宋体" w:cs="宋体"/>
                <w:kern w:val="0"/>
                <w:sz w:val="20"/>
                <w:szCs w:val="20"/>
              </w:rPr>
              <w:t>万元</w:t>
            </w:r>
          </w:p>
        </w:tc>
        <w:tc>
          <w:tcPr>
            <w:tcW w:w="1833"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4.67</w:t>
            </w:r>
            <w:r>
              <w:rPr>
                <w:rFonts w:hint="eastAsia" w:ascii="宋体" w:hAnsi="宋体" w:cs="宋体"/>
                <w:kern w:val="0"/>
                <w:sz w:val="20"/>
                <w:szCs w:val="20"/>
              </w:rPr>
              <w:t>万元</w:t>
            </w:r>
          </w:p>
        </w:tc>
      </w:tr>
      <w:tr>
        <w:tblPrEx>
          <w:tblCellMar>
            <w:top w:w="0" w:type="dxa"/>
            <w:left w:w="108" w:type="dxa"/>
            <w:bottom w:w="0" w:type="dxa"/>
            <w:right w:w="108" w:type="dxa"/>
          </w:tblCellMar>
        </w:tblPrEx>
        <w:trPr>
          <w:trHeight w:val="37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2187" w:type="dxa"/>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833"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687"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613"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687" w:type="dxa"/>
            <w:gridSpan w:val="3"/>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w:t>
            </w:r>
            <w:r>
              <w:rPr>
                <w:rFonts w:hint="eastAsia"/>
                <w:kern w:val="0"/>
                <w:sz w:val="20"/>
                <w:szCs w:val="20"/>
              </w:rPr>
              <w:t>用于弱势群体帮扶和为群众办好事实事所占资金比重应达到三分之二以上，用于发展村（社区）公益事业方面的资金不得超过三分之一</w:t>
            </w:r>
            <w:r>
              <w:rPr>
                <w:kern w:val="0"/>
                <w:sz w:val="20"/>
                <w:szCs w:val="20"/>
              </w:rPr>
              <w:t>”</w:t>
            </w:r>
            <w:r>
              <w:rPr>
                <w:rFonts w:hint="eastAsia"/>
                <w:kern w:val="0"/>
                <w:sz w:val="20"/>
                <w:szCs w:val="20"/>
              </w:rPr>
              <w:t>的要求。</w:t>
            </w:r>
          </w:p>
        </w:tc>
        <w:tc>
          <w:tcPr>
            <w:tcW w:w="3613"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kern w:val="0"/>
                <w:sz w:val="20"/>
                <w:szCs w:val="20"/>
              </w:rPr>
              <w:t>实施为民办实事项目，涉及群众生产、生活等方面，使基层群众一些实际困难得到及时解决，生产生活条件得到改善和提升，群众对村党组织满意度进一步提高。</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2187"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补助个人（家庭）数量</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＞50人/户</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＞50人/户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开展技术培训</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＞100次</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＞100次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政策解读（次）</w:t>
            </w:r>
          </w:p>
        </w:tc>
        <w:tc>
          <w:tcPr>
            <w:tcW w:w="1833" w:type="dxa"/>
            <w:tcBorders>
              <w:top w:val="nil"/>
              <w:left w:val="nil"/>
              <w:bottom w:val="single" w:color="auto" w:sz="4" w:space="0"/>
              <w:right w:val="single" w:color="auto" w:sz="4" w:space="0"/>
            </w:tcBorders>
            <w:vAlign w:val="center"/>
          </w:tcPr>
          <w:p>
            <w:pPr>
              <w:widowControl/>
              <w:ind w:firstLine="200" w:firstLineChars="100"/>
              <w:jc w:val="center"/>
              <w:rPr>
                <w:rFonts w:ascii="宋体" w:cs="宋体"/>
                <w:kern w:val="0"/>
                <w:sz w:val="20"/>
                <w:szCs w:val="20"/>
              </w:rPr>
            </w:pPr>
            <w:r>
              <w:rPr>
                <w:rFonts w:hint="eastAsia" w:ascii="宋体" w:hAnsi="宋体" w:cs="宋体"/>
                <w:kern w:val="0"/>
                <w:sz w:val="20"/>
                <w:szCs w:val="20"/>
              </w:rPr>
              <w:t>＞100次</w:t>
            </w:r>
          </w:p>
        </w:tc>
        <w:tc>
          <w:tcPr>
            <w:tcW w:w="1780" w:type="dxa"/>
            <w:tcBorders>
              <w:top w:val="nil"/>
              <w:left w:val="nil"/>
              <w:bottom w:val="single" w:color="auto" w:sz="4" w:space="0"/>
              <w:right w:val="single" w:color="auto" w:sz="4" w:space="0"/>
            </w:tcBorders>
            <w:vAlign w:val="center"/>
          </w:tcPr>
          <w:p>
            <w:pPr>
              <w:widowControl/>
              <w:ind w:firstLine="200" w:firstLineChars="100"/>
              <w:jc w:val="center"/>
              <w:rPr>
                <w:rFonts w:ascii="宋体" w:cs="宋体"/>
                <w:kern w:val="0"/>
                <w:sz w:val="20"/>
                <w:szCs w:val="20"/>
              </w:rPr>
            </w:pPr>
            <w:r>
              <w:rPr>
                <w:rFonts w:hint="eastAsia" w:ascii="宋体" w:hAnsi="宋体" w:cs="宋体"/>
                <w:kern w:val="0"/>
                <w:sz w:val="20"/>
                <w:szCs w:val="20"/>
              </w:rPr>
              <w:t>＞100次</w:t>
            </w:r>
          </w:p>
        </w:tc>
      </w:tr>
      <w:tr>
        <w:tblPrEx>
          <w:tblCellMar>
            <w:top w:w="0" w:type="dxa"/>
            <w:left w:w="108" w:type="dxa"/>
            <w:bottom w:w="0" w:type="dxa"/>
            <w:right w:w="108" w:type="dxa"/>
          </w:tblCellMar>
        </w:tblPrEx>
        <w:trPr>
          <w:trHeight w:val="69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仿宋" w:hAnsi="仿宋" w:eastAsia="仿宋" w:cs="宋体"/>
                <w:kern w:val="0"/>
                <w:sz w:val="20"/>
                <w:szCs w:val="20"/>
              </w:rPr>
              <w:t>开展技术培训结业率</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仿宋" w:hAnsi="仿宋" w:eastAsia="仿宋"/>
                <w:kern w:val="0"/>
                <w:sz w:val="20"/>
                <w:szCs w:val="20"/>
              </w:rPr>
              <w:t>活动效果达成率</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资金拨付及时率</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项目开始时间</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2018年1月</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2018年1月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项目完成时间</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2018年12月</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2018年 12云</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开展活动</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≤2万元</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宣传材料</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≤0.67万元</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≤0.67万元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慰问品</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≤2万元</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cs="宋体"/>
                <w:kern w:val="0"/>
                <w:sz w:val="20"/>
                <w:szCs w:val="20"/>
              </w:rPr>
              <w:t>≤2万元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群众生活水平改善</w:t>
            </w:r>
          </w:p>
        </w:tc>
        <w:tc>
          <w:tcPr>
            <w:tcW w:w="183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显著提高</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显著提高</w:t>
            </w:r>
          </w:p>
        </w:tc>
      </w:tr>
      <w:tr>
        <w:tblPrEx>
          <w:tblCellMar>
            <w:top w:w="0" w:type="dxa"/>
            <w:left w:w="108" w:type="dxa"/>
            <w:bottom w:w="0" w:type="dxa"/>
            <w:right w:w="108" w:type="dxa"/>
          </w:tblCellMar>
        </w:tblPrEx>
        <w:trPr>
          <w:trHeight w:val="45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项目持续时间</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kern w:val="0"/>
                <w:sz w:val="20"/>
                <w:szCs w:val="20"/>
              </w:rPr>
              <w:t>1年</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kern w:val="0"/>
                <w:sz w:val="20"/>
                <w:szCs w:val="20"/>
              </w:rPr>
              <w:t>1年</w:t>
            </w:r>
          </w:p>
        </w:tc>
      </w:tr>
      <w:tr>
        <w:tblPrEx>
          <w:tblCellMar>
            <w:top w:w="0" w:type="dxa"/>
            <w:left w:w="108" w:type="dxa"/>
            <w:bottom w:w="0" w:type="dxa"/>
            <w:right w:w="108" w:type="dxa"/>
          </w:tblCellMar>
        </w:tblPrEx>
        <w:trPr>
          <w:trHeight w:val="287"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人民群众满意度</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kern w:val="0"/>
                <w:sz w:val="20"/>
                <w:szCs w:val="20"/>
              </w:rPr>
              <w:t>＞95%</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2187"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村委会满意度</w:t>
            </w:r>
          </w:p>
        </w:tc>
        <w:tc>
          <w:tcPr>
            <w:tcW w:w="1833"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kern w:val="0"/>
                <w:sz w:val="20"/>
                <w:szCs w:val="20"/>
              </w:rPr>
              <w:t>＞95%</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kern w:val="0"/>
                <w:sz w:val="20"/>
                <w:szCs w:val="20"/>
              </w:rPr>
              <w:t>＞95%</w:t>
            </w:r>
          </w:p>
        </w:tc>
      </w:tr>
    </w:tbl>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8</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5263"/>
    <w:rsid w:val="00021045"/>
    <w:rsid w:val="0003131F"/>
    <w:rsid w:val="000320FC"/>
    <w:rsid w:val="00036FD9"/>
    <w:rsid w:val="00055F41"/>
    <w:rsid w:val="0005632B"/>
    <w:rsid w:val="00056465"/>
    <w:rsid w:val="000972EF"/>
    <w:rsid w:val="000C1C65"/>
    <w:rsid w:val="000F1BC1"/>
    <w:rsid w:val="00121AE4"/>
    <w:rsid w:val="001255DC"/>
    <w:rsid w:val="001268AE"/>
    <w:rsid w:val="00146AAD"/>
    <w:rsid w:val="00160F91"/>
    <w:rsid w:val="001652EC"/>
    <w:rsid w:val="0018396B"/>
    <w:rsid w:val="00183DA9"/>
    <w:rsid w:val="00185F94"/>
    <w:rsid w:val="001B3A40"/>
    <w:rsid w:val="001F49D0"/>
    <w:rsid w:val="00256AAC"/>
    <w:rsid w:val="002574E5"/>
    <w:rsid w:val="00260CF4"/>
    <w:rsid w:val="002A19D2"/>
    <w:rsid w:val="002E433C"/>
    <w:rsid w:val="002E590A"/>
    <w:rsid w:val="002E7D78"/>
    <w:rsid w:val="003169AB"/>
    <w:rsid w:val="0031789C"/>
    <w:rsid w:val="003450E6"/>
    <w:rsid w:val="003572CF"/>
    <w:rsid w:val="00372E63"/>
    <w:rsid w:val="003908B7"/>
    <w:rsid w:val="003B7D88"/>
    <w:rsid w:val="003D0CD6"/>
    <w:rsid w:val="003E3203"/>
    <w:rsid w:val="003E69D1"/>
    <w:rsid w:val="004041C6"/>
    <w:rsid w:val="00422CF2"/>
    <w:rsid w:val="004366A8"/>
    <w:rsid w:val="00441A40"/>
    <w:rsid w:val="004644CA"/>
    <w:rsid w:val="004804C9"/>
    <w:rsid w:val="004A634B"/>
    <w:rsid w:val="004B2B71"/>
    <w:rsid w:val="00501A45"/>
    <w:rsid w:val="00502BA7"/>
    <w:rsid w:val="00515B2D"/>
    <w:rsid w:val="005162F1"/>
    <w:rsid w:val="00524B0B"/>
    <w:rsid w:val="00535153"/>
    <w:rsid w:val="00554F82"/>
    <w:rsid w:val="00557407"/>
    <w:rsid w:val="0056390D"/>
    <w:rsid w:val="005719B0"/>
    <w:rsid w:val="005C1965"/>
    <w:rsid w:val="005C5252"/>
    <w:rsid w:val="005D10D6"/>
    <w:rsid w:val="00605CA2"/>
    <w:rsid w:val="00616DEA"/>
    <w:rsid w:val="0067200E"/>
    <w:rsid w:val="006928CB"/>
    <w:rsid w:val="0069633C"/>
    <w:rsid w:val="006A7645"/>
    <w:rsid w:val="006E6BB4"/>
    <w:rsid w:val="006F7BB5"/>
    <w:rsid w:val="0072433E"/>
    <w:rsid w:val="00743B81"/>
    <w:rsid w:val="0075528C"/>
    <w:rsid w:val="00783569"/>
    <w:rsid w:val="00855E3A"/>
    <w:rsid w:val="00861A9F"/>
    <w:rsid w:val="008D3855"/>
    <w:rsid w:val="008F38F0"/>
    <w:rsid w:val="00922CB9"/>
    <w:rsid w:val="0092573B"/>
    <w:rsid w:val="00930760"/>
    <w:rsid w:val="009564B6"/>
    <w:rsid w:val="009A448A"/>
    <w:rsid w:val="009C40F9"/>
    <w:rsid w:val="009E5CD9"/>
    <w:rsid w:val="009F4906"/>
    <w:rsid w:val="00A232C3"/>
    <w:rsid w:val="00A26421"/>
    <w:rsid w:val="00A4293B"/>
    <w:rsid w:val="00A55506"/>
    <w:rsid w:val="00A6011B"/>
    <w:rsid w:val="00A67D50"/>
    <w:rsid w:val="00A71636"/>
    <w:rsid w:val="00A72837"/>
    <w:rsid w:val="00A8691A"/>
    <w:rsid w:val="00A949CB"/>
    <w:rsid w:val="00AB4E53"/>
    <w:rsid w:val="00AC1946"/>
    <w:rsid w:val="00AF7142"/>
    <w:rsid w:val="00B1171E"/>
    <w:rsid w:val="00B27043"/>
    <w:rsid w:val="00B40063"/>
    <w:rsid w:val="00B41F61"/>
    <w:rsid w:val="00BA46E6"/>
    <w:rsid w:val="00BB270C"/>
    <w:rsid w:val="00BD4E80"/>
    <w:rsid w:val="00BE463F"/>
    <w:rsid w:val="00C132F8"/>
    <w:rsid w:val="00C35462"/>
    <w:rsid w:val="00C56C72"/>
    <w:rsid w:val="00C6099F"/>
    <w:rsid w:val="00C8095C"/>
    <w:rsid w:val="00CA58D8"/>
    <w:rsid w:val="00CA6457"/>
    <w:rsid w:val="00CD27AA"/>
    <w:rsid w:val="00D16AF4"/>
    <w:rsid w:val="00D17F2E"/>
    <w:rsid w:val="00D30354"/>
    <w:rsid w:val="00D70BED"/>
    <w:rsid w:val="00D8429E"/>
    <w:rsid w:val="00D926BD"/>
    <w:rsid w:val="00DC1091"/>
    <w:rsid w:val="00DC2B1B"/>
    <w:rsid w:val="00DC3973"/>
    <w:rsid w:val="00DC6757"/>
    <w:rsid w:val="00DF42A0"/>
    <w:rsid w:val="00E00D00"/>
    <w:rsid w:val="00E258F1"/>
    <w:rsid w:val="00E67D38"/>
    <w:rsid w:val="00E769FE"/>
    <w:rsid w:val="00EA2CBE"/>
    <w:rsid w:val="00EB0CC5"/>
    <w:rsid w:val="00EE14FF"/>
    <w:rsid w:val="00F32FEE"/>
    <w:rsid w:val="00F972AA"/>
    <w:rsid w:val="00FB10BB"/>
    <w:rsid w:val="00FE66A5"/>
    <w:rsid w:val="00FF6D06"/>
    <w:rsid w:val="0550186D"/>
    <w:rsid w:val="057E0504"/>
    <w:rsid w:val="10955CDA"/>
    <w:rsid w:val="13BF5B01"/>
    <w:rsid w:val="13CD70C3"/>
    <w:rsid w:val="14FB4CB7"/>
    <w:rsid w:val="155B37D1"/>
    <w:rsid w:val="18860D08"/>
    <w:rsid w:val="2AA67C70"/>
    <w:rsid w:val="2F416878"/>
    <w:rsid w:val="36765422"/>
    <w:rsid w:val="37FC34C7"/>
    <w:rsid w:val="4246192D"/>
    <w:rsid w:val="472238F6"/>
    <w:rsid w:val="4A397679"/>
    <w:rsid w:val="4ADD40DA"/>
    <w:rsid w:val="4E75747F"/>
    <w:rsid w:val="507E3B90"/>
    <w:rsid w:val="50F7386B"/>
    <w:rsid w:val="54B8738B"/>
    <w:rsid w:val="5EE14349"/>
    <w:rsid w:val="61DD20C0"/>
    <w:rsid w:val="62502DE6"/>
    <w:rsid w:val="67C92702"/>
    <w:rsid w:val="68C571EC"/>
    <w:rsid w:val="72516B3D"/>
    <w:rsid w:val="73B81244"/>
    <w:rsid w:val="7FF82263"/>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30"/>
    <w:semiHidden/>
    <w:qFormat/>
    <w:uiPriority w:val="99"/>
    <w:rPr>
      <w:sz w:val="18"/>
      <w:szCs w:val="18"/>
    </w:rPr>
  </w:style>
  <w:style w:type="paragraph" w:styleId="12">
    <w:name w:val="footer"/>
    <w:basedOn w:val="1"/>
    <w:link w:val="31"/>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2"/>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99"/>
    <w:pPr>
      <w:widowControl/>
      <w:spacing w:after="60"/>
      <w:jc w:val="center"/>
      <w:outlineLvl w:val="1"/>
    </w:pPr>
    <w:rPr>
      <w:rFonts w:ascii="Cambria" w:hAnsi="Cambria"/>
      <w:kern w:val="0"/>
      <w:sz w:val="24"/>
    </w:rPr>
  </w:style>
  <w:style w:type="paragraph" w:styleId="15">
    <w:name w:val="Normal (Web)"/>
    <w:basedOn w:val="1"/>
    <w:qFormat/>
    <w:uiPriority w:val="0"/>
    <w:rPr>
      <w:sz w:val="24"/>
    </w:rPr>
  </w:style>
  <w:style w:type="paragraph" w:styleId="16">
    <w:name w:val="Title"/>
    <w:basedOn w:val="1"/>
    <w:next w:val="1"/>
    <w:link w:val="34"/>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qFormat/>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qFormat/>
    <w:locked/>
    <w:uiPriority w:val="99"/>
    <w:rPr>
      <w:rFonts w:cs="Times New Roman"/>
      <w:i/>
      <w:iCs/>
      <w:sz w:val="24"/>
      <w:szCs w:val="24"/>
    </w:rPr>
  </w:style>
  <w:style w:type="character" w:customStyle="1" w:styleId="29">
    <w:name w:val="标题 9 Char"/>
    <w:basedOn w:val="18"/>
    <w:link w:val="10"/>
    <w:semiHidden/>
    <w:locked/>
    <w:uiPriority w:val="99"/>
    <w:rPr>
      <w:rFonts w:ascii="Cambria" w:hAnsi="Cambria" w:eastAsia="宋体" w:cs="Times New Roman"/>
    </w:rPr>
  </w:style>
  <w:style w:type="character" w:customStyle="1" w:styleId="30">
    <w:name w:val="批注框文本 Char"/>
    <w:basedOn w:val="18"/>
    <w:link w:val="11"/>
    <w:semiHidden/>
    <w:qFormat/>
    <w:locked/>
    <w:uiPriority w:val="99"/>
    <w:rPr>
      <w:rFonts w:ascii="Times New Roman" w:hAnsi="Times New Roman" w:eastAsia="宋体" w:cs="Times New Roman"/>
      <w:kern w:val="2"/>
      <w:sz w:val="18"/>
      <w:szCs w:val="18"/>
    </w:rPr>
  </w:style>
  <w:style w:type="character" w:customStyle="1" w:styleId="31">
    <w:name w:val="页脚 Char"/>
    <w:basedOn w:val="18"/>
    <w:link w:val="12"/>
    <w:qFormat/>
    <w:locked/>
    <w:uiPriority w:val="99"/>
    <w:rPr>
      <w:rFonts w:ascii="Calibri" w:hAnsi="Calibri" w:eastAsia="宋体" w:cs="Times New Roman"/>
      <w:kern w:val="2"/>
      <w:sz w:val="18"/>
      <w:szCs w:val="18"/>
    </w:rPr>
  </w:style>
  <w:style w:type="character" w:customStyle="1" w:styleId="32">
    <w:name w:val="页眉 Char"/>
    <w:basedOn w:val="18"/>
    <w:link w:val="13"/>
    <w:qFormat/>
    <w:locked/>
    <w:uiPriority w:val="99"/>
    <w:rPr>
      <w:rFonts w:ascii="Calibri" w:hAnsi="Calibri" w:eastAsia="宋体" w:cs="Times New Roman"/>
      <w:kern w:val="2"/>
      <w:sz w:val="18"/>
      <w:szCs w:val="18"/>
    </w:rPr>
  </w:style>
  <w:style w:type="character" w:customStyle="1" w:styleId="33">
    <w:name w:val="副标题 Char"/>
    <w:basedOn w:val="18"/>
    <w:link w:val="14"/>
    <w:qFormat/>
    <w:locked/>
    <w:uiPriority w:val="99"/>
    <w:rPr>
      <w:rFonts w:ascii="Cambria" w:hAnsi="Cambria" w:eastAsia="宋体" w:cs="Times New Roman"/>
      <w:sz w:val="24"/>
      <w:szCs w:val="24"/>
    </w:rPr>
  </w:style>
  <w:style w:type="character" w:customStyle="1" w:styleId="34">
    <w:name w:val="标题 Char"/>
    <w:basedOn w:val="18"/>
    <w:link w:val="16"/>
    <w:qFormat/>
    <w:locked/>
    <w:uiPriority w:val="99"/>
    <w:rPr>
      <w:rFonts w:ascii="Cambria" w:hAnsi="Cambria" w:eastAsia="宋体" w:cs="Times New Roman"/>
      <w:b/>
      <w:bCs/>
      <w:kern w:val="28"/>
      <w:sz w:val="32"/>
      <w:szCs w:val="32"/>
    </w:rPr>
  </w:style>
  <w:style w:type="paragraph" w:styleId="35">
    <w:name w:val="No Spacing"/>
    <w:basedOn w:val="1"/>
    <w:qFormat/>
    <w:uiPriority w:val="99"/>
    <w:pPr>
      <w:widowControl/>
      <w:jc w:val="left"/>
    </w:pPr>
    <w:rPr>
      <w:rFonts w:ascii="Calibri" w:hAnsi="Calibri"/>
      <w:kern w:val="0"/>
      <w:sz w:val="24"/>
      <w:szCs w:val="32"/>
      <w:lang w:eastAsia="en-US"/>
    </w:rPr>
  </w:style>
  <w:style w:type="paragraph" w:styleId="36">
    <w:name w:val="List Paragraph"/>
    <w:basedOn w:val="1"/>
    <w:qFormat/>
    <w:uiPriority w:val="99"/>
    <w:pPr>
      <w:widowControl/>
      <w:ind w:left="720"/>
      <w:contextualSpacing/>
      <w:jc w:val="left"/>
    </w:pPr>
    <w:rPr>
      <w:rFonts w:ascii="Calibri" w:hAnsi="Calibri"/>
      <w:kern w:val="0"/>
      <w:sz w:val="24"/>
      <w:lang w:eastAsia="en-US"/>
    </w:rPr>
  </w:style>
  <w:style w:type="paragraph" w:styleId="37">
    <w:name w:val="Quote"/>
    <w:basedOn w:val="1"/>
    <w:next w:val="1"/>
    <w:link w:val="38"/>
    <w:qFormat/>
    <w:uiPriority w:val="99"/>
    <w:pPr>
      <w:widowControl/>
      <w:jc w:val="left"/>
    </w:pPr>
    <w:rPr>
      <w:rFonts w:ascii="Calibri" w:hAnsi="Calibri"/>
      <w:i/>
      <w:kern w:val="0"/>
      <w:sz w:val="24"/>
    </w:rPr>
  </w:style>
  <w:style w:type="character" w:customStyle="1" w:styleId="38">
    <w:name w:val="引用 Char"/>
    <w:basedOn w:val="18"/>
    <w:link w:val="37"/>
    <w:qFormat/>
    <w:locked/>
    <w:uiPriority w:val="99"/>
    <w:rPr>
      <w:rFonts w:cs="Times New Roman"/>
      <w:i/>
      <w:sz w:val="24"/>
      <w:szCs w:val="24"/>
    </w:rPr>
  </w:style>
  <w:style w:type="paragraph" w:styleId="39">
    <w:name w:val="Intense Quote"/>
    <w:basedOn w:val="1"/>
    <w:next w:val="1"/>
    <w:link w:val="40"/>
    <w:qFormat/>
    <w:uiPriority w:val="99"/>
    <w:pPr>
      <w:widowControl/>
      <w:ind w:left="720" w:right="720"/>
      <w:jc w:val="left"/>
    </w:pPr>
    <w:rPr>
      <w:rFonts w:ascii="Calibri" w:hAnsi="Calibri"/>
      <w:b/>
      <w:i/>
      <w:kern w:val="0"/>
      <w:sz w:val="24"/>
      <w:szCs w:val="22"/>
    </w:rPr>
  </w:style>
  <w:style w:type="character" w:customStyle="1" w:styleId="40">
    <w:name w:val="明显引用 Char"/>
    <w:basedOn w:val="18"/>
    <w:link w:val="39"/>
    <w:locked/>
    <w:uiPriority w:val="99"/>
    <w:rPr>
      <w:rFonts w:cs="Times New Roman"/>
      <w:b/>
      <w:i/>
      <w:sz w:val="24"/>
    </w:rPr>
  </w:style>
  <w:style w:type="character" w:customStyle="1" w:styleId="41">
    <w:name w:val="Subtle Emphasis1"/>
    <w:qFormat/>
    <w:uiPriority w:val="99"/>
    <w:rPr>
      <w:i/>
      <w:color w:val="5A5A5A"/>
    </w:rPr>
  </w:style>
  <w:style w:type="character" w:customStyle="1" w:styleId="42">
    <w:name w:val="Intense Emphasis1"/>
    <w:basedOn w:val="18"/>
    <w:qFormat/>
    <w:uiPriority w:val="99"/>
    <w:rPr>
      <w:rFonts w:cs="Times New Roman"/>
      <w:b/>
      <w:i/>
      <w:sz w:val="24"/>
      <w:szCs w:val="24"/>
      <w:u w:val="single"/>
    </w:rPr>
  </w:style>
  <w:style w:type="character" w:customStyle="1" w:styleId="43">
    <w:name w:val="Subtle Reference1"/>
    <w:basedOn w:val="18"/>
    <w:uiPriority w:val="99"/>
    <w:rPr>
      <w:rFonts w:cs="Times New Roman"/>
      <w:sz w:val="24"/>
      <w:szCs w:val="24"/>
      <w:u w:val="single"/>
    </w:rPr>
  </w:style>
  <w:style w:type="character" w:customStyle="1" w:styleId="44">
    <w:name w:val="Intense Reference1"/>
    <w:basedOn w:val="18"/>
    <w:uiPriority w:val="99"/>
    <w:rPr>
      <w:rFonts w:cs="Times New Roman"/>
      <w:b/>
      <w:sz w:val="24"/>
      <w:u w:val="single"/>
    </w:rPr>
  </w:style>
  <w:style w:type="character" w:customStyle="1" w:styleId="45">
    <w:name w:val="Book Title1"/>
    <w:basedOn w:val="18"/>
    <w:qFormat/>
    <w:uiPriority w:val="99"/>
    <w:rPr>
      <w:rFonts w:ascii="Cambria" w:hAnsi="Cambria" w:eastAsia="宋体" w:cs="Times New Roman"/>
      <w:b/>
      <w:i/>
      <w:sz w:val="24"/>
      <w:szCs w:val="24"/>
    </w:rPr>
  </w:style>
  <w:style w:type="paragraph" w:customStyle="1" w:styleId="46">
    <w:name w:val="TOC Heading1"/>
    <w:basedOn w:val="2"/>
    <w:next w:val="1"/>
    <w:semiHidden/>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570</Words>
  <Characters>3251</Characters>
  <Lines>27</Lines>
  <Paragraphs>7</Paragraphs>
  <TotalTime>19</TotalTime>
  <ScaleCrop>false</ScaleCrop>
  <LinksUpToDate>false</LinksUpToDate>
  <CharactersWithSpaces>3814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ʀᴇsᴛ</cp:lastModifiedBy>
  <cp:lastPrinted>2018-12-31T10:56:00Z</cp:lastPrinted>
  <dcterms:modified xsi:type="dcterms:W3CDTF">2020-04-05T08:29:23Z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