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val="0"/>
          <w:bCs/>
          <w:kern w:val="0"/>
          <w:sz w:val="44"/>
          <w:szCs w:val="44"/>
        </w:rPr>
      </w:pPr>
    </w:p>
    <w:p>
      <w:pPr>
        <w:spacing w:line="540" w:lineRule="exact"/>
        <w:jc w:val="center"/>
        <w:rPr>
          <w:rFonts w:ascii="华文中宋" w:hAnsi="华文中宋" w:eastAsia="华文中宋" w:cs="宋体"/>
          <w:b w:val="0"/>
          <w:bCs/>
          <w:kern w:val="0"/>
          <w:sz w:val="44"/>
          <w:szCs w:val="44"/>
        </w:rPr>
      </w:pPr>
    </w:p>
    <w:p>
      <w:pPr>
        <w:spacing w:line="540" w:lineRule="exact"/>
        <w:jc w:val="center"/>
        <w:rPr>
          <w:rFonts w:ascii="华文中宋" w:hAnsi="华文中宋" w:eastAsia="华文中宋" w:cs="宋体"/>
          <w:b w:val="0"/>
          <w:bCs/>
          <w:kern w:val="0"/>
          <w:sz w:val="44"/>
          <w:szCs w:val="44"/>
        </w:rPr>
      </w:pPr>
    </w:p>
    <w:p>
      <w:pPr>
        <w:spacing w:line="540" w:lineRule="exact"/>
        <w:jc w:val="center"/>
        <w:rPr>
          <w:rFonts w:ascii="华文中宋" w:hAnsi="华文中宋" w:eastAsia="华文中宋" w:cs="宋体"/>
          <w:b w:val="0"/>
          <w:bCs/>
          <w:kern w:val="0"/>
          <w:sz w:val="44"/>
          <w:szCs w:val="44"/>
        </w:rPr>
      </w:pPr>
    </w:p>
    <w:p>
      <w:pPr>
        <w:spacing w:line="540" w:lineRule="exact"/>
        <w:jc w:val="center"/>
        <w:rPr>
          <w:rFonts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新疆维吾尔自治区巴州和静县民政局残疾两项补贴项目支出绩效自评报告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项目名称：残疾两项补贴</w:t>
      </w: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实施单位（公章）：和静县</w:t>
      </w:r>
      <w:r>
        <w:rPr>
          <w:rFonts w:hint="eastAsia" w:ascii="仿宋" w:hAnsi="仿宋" w:eastAsia="仿宋" w:cs="仿宋"/>
          <w:bCs/>
          <w:kern w:val="0"/>
          <w:sz w:val="32"/>
          <w:szCs w:val="32"/>
        </w:rPr>
        <w:t>民政局</w:t>
      </w: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主管部门（公章）：和静县</w:t>
      </w:r>
      <w:r>
        <w:rPr>
          <w:rFonts w:hint="eastAsia" w:ascii="仿宋" w:hAnsi="仿宋" w:eastAsia="仿宋" w:cs="仿宋"/>
          <w:bCs/>
          <w:kern w:val="0"/>
          <w:sz w:val="32"/>
          <w:szCs w:val="32"/>
        </w:rPr>
        <w:t>民政局本级</w:t>
      </w: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项目负责人（签章）：门开巴义尔</w:t>
      </w: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填报时间：2019年1月23日</w:t>
      </w:r>
    </w:p>
    <w:p>
      <w:pPr>
        <w:spacing w:line="540" w:lineRule="exact"/>
        <w:jc w:val="center"/>
        <w:rPr>
          <w:rFonts w:hAnsi="宋体" w:eastAsia="仿宋_GB2312" w:cs="宋体"/>
          <w:kern w:val="0"/>
          <w:sz w:val="30"/>
          <w:szCs w:val="30"/>
        </w:rPr>
      </w:pPr>
    </w:p>
    <w:p>
      <w:pPr>
        <w:spacing w:line="600" w:lineRule="exact"/>
        <w:ind w:firstLine="624" w:firstLineChars="200"/>
        <w:rPr>
          <w:rStyle w:val="5"/>
          <w:rFonts w:ascii="黑体" w:hAnsi="黑体" w:eastAsia="黑体"/>
          <w:b w:val="0"/>
          <w:color w:val="000000" w:themeColor="text1"/>
          <w:spacing w:val="-4"/>
          <w:sz w:val="32"/>
          <w:szCs w:val="32"/>
          <w14:textFill>
            <w14:solidFill>
              <w14:schemeClr w14:val="tx1"/>
            </w14:solidFill>
          </w14:textFill>
        </w:rPr>
      </w:pPr>
      <w:r>
        <w:rPr>
          <w:rStyle w:val="5"/>
          <w:rFonts w:hint="eastAsia" w:ascii="黑体" w:hAnsi="黑体" w:eastAsia="黑体"/>
          <w:b w:val="0"/>
          <w:color w:val="000000" w:themeColor="text1"/>
          <w:spacing w:val="-4"/>
          <w:sz w:val="32"/>
          <w:szCs w:val="32"/>
          <w14:textFill>
            <w14:solidFill>
              <w14:schemeClr w14:val="tx1"/>
            </w14:solidFill>
          </w14:textFill>
        </w:rPr>
        <w:t>一、项目概况</w:t>
      </w:r>
    </w:p>
    <w:p>
      <w:pPr>
        <w:spacing w:line="600" w:lineRule="exact"/>
        <w:ind w:firstLine="627" w:firstLineChars="200"/>
        <w:rPr>
          <w:rStyle w:val="5"/>
          <w:rFonts w:hint="eastAsia" w:ascii="楷体_GB2312" w:hAnsi="楷体" w:eastAsia="楷体_GB2312"/>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（一）项目单位基本情况</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和静县民政局位于巴音路1688号，建筑面积9765.27平方米，总投资1915万元。1981年2月，和静县批准设立和静县民政科，1984年9月改为和静县民政局，核定编制13人，内设办公室、社救股、救灾及区划地名股、社会事务及基层政权建设股。下属机构为县中心敬老院、儿童福利院，有政府购岗人员 41 名。挂靠民政局的单位有老龄办，列事业编制2名。截至2018年9月，和静县民政局有干部28名，（行政12人，事业13人，工勤3人）。乡（镇）、场设民政办公室12个，编制和人事由乡镇人民政府管理，民政局负责业务指导。</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主要职责是：</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1、宣传、贯彻、执行中央、自治区、自治州和县党委民政工作法律法规和政策规定，制订全县民政事业发展规划和年度计划，并组织实施、监督检查。</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统筹社会救助体系建设，负责全县城乡特困人员救助、城乡居民最低生活保障、孤儿救助、临时救助、生活无着流浪乞讨人员救助工作；调查、审核、审批全县民政救助对象，组织实施救助，落实各项民政救助政策。</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负责、指导村民（居民）委员会（监委会、组委会）换届民主选举及民主决策、民主管理和民主监督工作。指导开展村务公开，推进基层民主政治建设。负责、指导社区建设工作，推进城乡社区服务体系建设，推进社区服务管理规范化。</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4、负责全县社会组织的审批、登记和监督管理；查处社会组织的违法行为和非法社会组织。</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5、负责全县行政区划工作。承担县、镇（街道办）行政区域的设立、撤销、调整、地名命名、更名和界线变更及政府驻地迁移的初审上报工作。调处县境内行政区域边界争议。</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负责组织、协调与毗邻县行政区域界线的勘定,负责勘界历史资料的保存利用；参与市、县际边界争议的联合调查和调处工作；管理行政区域界线界桩标志。负责全县规范地名标志的设置和管理，收集整理地名信息资料，管理地名档案。负责行政区划图的审核、勘定工作。</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7、负责拟定儿童福利、孤弃儿童保障、儿童收养、儿童救助保护政策、标准，健全农村留守儿童关爱服务体系和困境儿童保障制度。</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8、负责全县婚姻登记、收养登记的发证及信息、档案管理工作，推进婚俗改革。</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9、负责殡葬管理和殡葬制度改革，规范殡仪服务、公墓服务行为，加强公益性公墓建设与管理，促进殡葬事业健康发展。</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10、统筹推进、督促指导、监督管理养老服务工作，拟定养老服务体系建设规划、政策、标准并组织实施，承担老年人福利和特殊困难老年人救助工作。指导建设养老院、农村幸福院、日间照料中心、居家养老、智慧养老等各种养老服务机构。</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11、负责全县民政事业统计信息报送工作；强化民政财务，对全县民政事业经费作出预、决算，监督民政事业费的使用和管理。</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12、负责志愿者队伍建设管理，推进社区工作人才队伍建设和志愿者队伍建设。</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13、承担本行业本领域有关方面的数据采集推送、安全管理等工作。</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14、负责本行业本领域的安全生产监管工作。</w:t>
      </w:r>
    </w:p>
    <w:p>
      <w:pPr>
        <w:spacing w:line="600" w:lineRule="exact"/>
        <w:ind w:firstLine="640" w:firstLineChars="200"/>
        <w:rPr>
          <w:rFonts w:hint="eastAsia" w:ascii="仿宋_GB2312" w:eastAsia="仿宋_GB2312" w:hAnsiTheme="majorEastAsia" w:cstheme="majorEastAsia"/>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15、完成县党委、县政府交办的其他任务。</w:t>
      </w:r>
    </w:p>
    <w:p>
      <w:pPr>
        <w:spacing w:line="600" w:lineRule="exact"/>
        <w:ind w:firstLine="627" w:firstLineChars="200"/>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（二）项目预算绩效目标设定情况</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残疾人两项补贴制度是国家层面首次建立的残疾人专项福利补贴制度，标志着残疾人补贴从地方实践上升到国家制度，标志着残疾人基本福利制度建设迈上了新的重要里程碑。</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自2016年1月1日起按照《关于完善困难残疾生活补贴和重度残疾人护理补贴制度的实施意见》）文件，要求建立重度残疾人护理补贴制度，使残疾人两项补贴制度成为补贴残疾人生活困难、长期照护困难的基本福利制度。困难残疾人生活补贴对象为低保家庭中的残疾人。重度残疾人护理补贴对象为残疾等级被评定为一级、二级且失去劳动能力需要长期照护的重度残疾人。严格审定申请人择高享受或不享受残疾人两项补贴的对象范围。本项目预计为1862名残疾人发放残疾人两项补贴。</w:t>
      </w:r>
    </w:p>
    <w:p>
      <w:pPr>
        <w:spacing w:line="600" w:lineRule="exact"/>
        <w:ind w:firstLine="624" w:firstLineChars="200"/>
        <w:rPr>
          <w:rStyle w:val="5"/>
          <w:rFonts w:ascii="黑体" w:hAnsi="黑体" w:eastAsia="黑体" w:cstheme="majorEastAsia"/>
          <w:b w:val="0"/>
          <w:color w:val="000000" w:themeColor="text1"/>
          <w:spacing w:val="-4"/>
          <w:sz w:val="32"/>
          <w:szCs w:val="32"/>
          <w14:textFill>
            <w14:solidFill>
              <w14:schemeClr w14:val="tx1"/>
            </w14:solidFill>
          </w14:textFill>
        </w:rPr>
      </w:pPr>
      <w:r>
        <w:rPr>
          <w:rStyle w:val="5"/>
          <w:rFonts w:hint="eastAsia" w:ascii="黑体" w:hAnsi="黑体" w:eastAsia="黑体" w:cstheme="majorEastAsia"/>
          <w:b w:val="0"/>
          <w:bCs w:val="0"/>
          <w:color w:val="000000" w:themeColor="text1"/>
          <w:spacing w:val="-4"/>
          <w:sz w:val="32"/>
          <w:szCs w:val="32"/>
          <w14:textFill>
            <w14:solidFill>
              <w14:schemeClr w14:val="tx1"/>
            </w14:solidFill>
          </w14:textFill>
        </w:rPr>
        <w:t>二、项目资金使用及管理情况</w:t>
      </w:r>
    </w:p>
    <w:p>
      <w:pPr>
        <w:spacing w:line="600" w:lineRule="exact"/>
        <w:ind w:firstLine="627" w:firstLineChars="200"/>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（一）项目资金安排落实、总投入等情况分析</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全年残疾人两项补贴到位资金137.59万元，执行137.59万元，执行率100%。</w:t>
      </w:r>
    </w:p>
    <w:p>
      <w:pPr>
        <w:spacing w:line="600" w:lineRule="exact"/>
        <w:ind w:firstLine="627" w:firstLineChars="200"/>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（二）项目资金实际使用情况分析</w:t>
      </w:r>
    </w:p>
    <w:p>
      <w:pPr>
        <w:spacing w:line="600" w:lineRule="exact"/>
        <w:ind w:firstLine="640" w:firstLineChars="200"/>
        <w:rPr>
          <w:rFonts w:hint="eastAsia" w:ascii="仿宋_GB2312" w:eastAsia="仿宋_GB2312" w:hAnsiTheme="majorEastAsia" w:cstheme="majorEastAsia"/>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残疾人两项补贴按季度发放。发放流程：符合被救助残疾人向所在村、社区民政干事申请补助，民政干事走访入户，核查申请的残疾人基本生活情况，核实情况属实后向所在乡镇民政办提交资料审核，再由乡镇向县级民政局提供资料由民政局具体负责残疾人工作人员审核资料，符合条件后分管领导签字，再由主管领导签字后，办公室盖章交至财务拨款发放。</w:t>
      </w:r>
    </w:p>
    <w:p>
      <w:pPr>
        <w:spacing w:line="600" w:lineRule="exact"/>
        <w:ind w:firstLine="627" w:firstLineChars="200"/>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（三）项目资金管理情况分析</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乡镇、村督促工作进度，对工作推进过程中存在的问题及时进行指导；县民政局、财政局、残联也加大了工作督查、指导力度，同时，妥善处理了部分对象因不熟悉政策而越级上访的问题，确保了工作有序推进。单位负责该项目工作人员审核后统一上会，由党组成员全部审核通过后发放资金。</w:t>
      </w:r>
    </w:p>
    <w:p>
      <w:pPr>
        <w:spacing w:line="600" w:lineRule="exact"/>
        <w:ind w:firstLine="624" w:firstLineChars="200"/>
        <w:rPr>
          <w:rStyle w:val="5"/>
          <w:rFonts w:ascii="黑体" w:hAnsi="黑体" w:eastAsia="黑体" w:cstheme="majorEastAsia"/>
          <w:b w:val="0"/>
          <w:color w:val="000000" w:themeColor="text1"/>
          <w:spacing w:val="-4"/>
          <w:sz w:val="32"/>
          <w:szCs w:val="32"/>
          <w14:textFill>
            <w14:solidFill>
              <w14:schemeClr w14:val="tx1"/>
            </w14:solidFill>
          </w14:textFill>
        </w:rPr>
      </w:pPr>
      <w:r>
        <w:rPr>
          <w:rStyle w:val="5"/>
          <w:rFonts w:hint="eastAsia" w:ascii="黑体" w:hAnsi="黑体" w:eastAsia="黑体" w:cstheme="majorEastAsia"/>
          <w:b w:val="0"/>
          <w:bCs w:val="0"/>
          <w:color w:val="000000" w:themeColor="text1"/>
          <w:spacing w:val="-4"/>
          <w:sz w:val="32"/>
          <w:szCs w:val="32"/>
          <w14:textFill>
            <w14:solidFill>
              <w14:schemeClr w14:val="tx1"/>
            </w14:solidFill>
          </w14:textFill>
        </w:rPr>
        <w:t>三、项目组织实施情况</w:t>
      </w:r>
    </w:p>
    <w:p>
      <w:pPr>
        <w:spacing w:line="600" w:lineRule="exact"/>
        <w:ind w:firstLine="627" w:firstLineChars="200"/>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（一）项目组织情况分析</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我局及时向县政府主要领导汇报，县分管批示要求民政局牵头，残联配合，研究提出贯彻实施意见。二是建立部门联系会议制度。局党组先后三次召开联系会议，促进了县本级政策的顺利出台和相关工作机制的建立健全。三是强化工作保障机制。符合被救助残疾人向所在村、社区民政干事申请补助，民政干事走访入户，核查申请的残疾人基本生活情况，核实情况属实后向所在乡镇民政办提交资料审核，再由乡镇向县级民政局提供资料由民政局具体负责残疾人工作人员审核资料，符合条件后分管领导签字，再由主管领导签字后，办公室盖章，符合享受残疾人两补人员资金汇总后给县财经领导小组打报告。最后交至财务拨款发放。</w:t>
      </w:r>
    </w:p>
    <w:p>
      <w:pPr>
        <w:spacing w:line="600" w:lineRule="exact"/>
        <w:ind w:firstLine="643" w:firstLineChars="200"/>
        <w:rPr>
          <w:rFonts w:hint="eastAsia" w:ascii="楷体_GB2312" w:eastAsia="楷体_GB2312" w:hAnsiTheme="majorEastAsia" w:cstheme="majorEastAsia"/>
          <w:b/>
          <w:color w:val="000000" w:themeColor="text1"/>
          <w:sz w:val="32"/>
          <w:szCs w:val="32"/>
          <w14:textFill>
            <w14:solidFill>
              <w14:schemeClr w14:val="tx1"/>
            </w14:solidFill>
          </w14:textFill>
        </w:rPr>
      </w:pPr>
      <w:r>
        <w:rPr>
          <w:rFonts w:hint="eastAsia" w:ascii="楷体_GB2312" w:eastAsia="楷体_GB2312" w:hAnsiTheme="majorEastAsia" w:cstheme="majorEastAsia"/>
          <w:b/>
          <w:bCs/>
          <w:color w:val="000000" w:themeColor="text1"/>
          <w:sz w:val="32"/>
          <w:szCs w:val="32"/>
          <w14:textFill>
            <w14:solidFill>
              <w14:schemeClr w14:val="tx1"/>
            </w14:solidFill>
          </w14:textFill>
        </w:rPr>
        <w:t>(二)项目管理情况分析</w:t>
      </w:r>
      <w:r>
        <w:rPr>
          <w:rFonts w:hint="eastAsia" w:ascii="楷体_GB2312" w:eastAsia="楷体_GB2312" w:hAnsiTheme="majorEastAsia" w:cstheme="majorEastAsia"/>
          <w:b/>
          <w:color w:val="000000" w:themeColor="text1"/>
          <w:sz w:val="32"/>
          <w:szCs w:val="32"/>
          <w14:textFill>
            <w14:solidFill>
              <w14:schemeClr w14:val="tx1"/>
            </w14:solidFill>
          </w14:textFill>
        </w:rPr>
        <w:t>。</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该项目负责人年初制定残疾人项目工作计划，对残疾人资金做好预算，跟残联衔接好残疾人工作，严格按照残疾人资金发放审核制度，残疾人档案装订成册，年底走访入户，调查工作满意度。</w:t>
      </w:r>
    </w:p>
    <w:p>
      <w:pPr>
        <w:spacing w:line="600" w:lineRule="exact"/>
        <w:ind w:firstLine="624" w:firstLineChars="200"/>
        <w:rPr>
          <w:rStyle w:val="5"/>
          <w:rFonts w:ascii="黑体" w:hAnsi="黑体" w:eastAsia="黑体" w:cstheme="majorEastAsia"/>
          <w:b w:val="0"/>
          <w:bCs w:val="0"/>
          <w:color w:val="000000" w:themeColor="text1"/>
          <w:sz w:val="32"/>
          <w:szCs w:val="32"/>
          <w14:textFill>
            <w14:solidFill>
              <w14:schemeClr w14:val="tx1"/>
            </w14:solidFill>
          </w14:textFill>
        </w:rPr>
      </w:pPr>
      <w:r>
        <w:rPr>
          <w:rStyle w:val="5"/>
          <w:rFonts w:hint="eastAsia" w:ascii="黑体" w:hAnsi="黑体" w:eastAsia="黑体" w:cstheme="majorEastAsia"/>
          <w:b w:val="0"/>
          <w:bCs w:val="0"/>
          <w:color w:val="000000" w:themeColor="text1"/>
          <w:spacing w:val="-4"/>
          <w:sz w:val="32"/>
          <w:szCs w:val="32"/>
          <w14:textFill>
            <w14:solidFill>
              <w14:schemeClr w14:val="tx1"/>
            </w14:solidFill>
          </w14:textFill>
        </w:rPr>
        <w:t>四、项目绩效情况</w:t>
      </w:r>
    </w:p>
    <w:p>
      <w:pPr>
        <w:spacing w:line="600" w:lineRule="exact"/>
        <w:ind w:firstLine="627" w:firstLineChars="200"/>
        <w:rPr>
          <w:rFonts w:hint="eastAsia" w:ascii="楷体_GB2312" w:eastAsia="楷体_GB2312" w:hAnsiTheme="majorEastAsia" w:cstheme="majorEastAsia"/>
          <w:b/>
          <w:color w:val="000000" w:themeColor="text1"/>
          <w:spacing w:val="-4"/>
          <w:sz w:val="32"/>
          <w:szCs w:val="32"/>
          <w14:textFill>
            <w14:solidFill>
              <w14:schemeClr w14:val="tx1"/>
            </w14:solidFill>
          </w14:textFill>
        </w:rPr>
      </w:pPr>
      <w:r>
        <w:rPr>
          <w:rFonts w:hint="eastAsia" w:ascii="楷体_GB2312" w:eastAsia="楷体_GB2312" w:hAnsiTheme="majorEastAsia" w:cstheme="majorEastAsia"/>
          <w:b/>
          <w:color w:val="000000" w:themeColor="text1"/>
          <w:spacing w:val="-4"/>
          <w:sz w:val="32"/>
          <w:szCs w:val="32"/>
          <w14:textFill>
            <w14:solidFill>
              <w14:schemeClr w14:val="tx1"/>
            </w14:solidFill>
          </w14:textFill>
        </w:rPr>
        <w:t>（一）项目绩效目标完成情况分析</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一是建立健全工作机制。把残疾人两项补贴工作纳入议事日程，形成残疾人两项补贴制度长效机制，细化落实目标任务。要切实发挥民政牵头作用，会同残联、财政部门建立分工协作机制，相关部门要做好审核工作。要履行各部门职责，协调相关部门推进工作进程，做好相关制度衔接和绩效评估工作。还要加强社会福利和社会救助科室协作，做好残疾人家庭经济状况核对工作。</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二是加快工作进度。为保障两项补贴从2016年1月1日起全面实施，期间按相关制度规定，细化流程，确保按时足额发放。</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三是抓好监督管理。残疾人两项补贴与低保金一样，是带有“高压线”性质的民生保障资金，各级民政部门要会同相关部门切实加强补贴资金的监督管理工作。要加强审核、补贴发放等政务信息公开，主动接受社会监督，力戒人情补、关系补、错补。要建立健全残疾人两项补贴经费管理制度，严格执行国家有关财务制度，防止出现挤占、挪用、套取资金等违法违规现象。要做好反馈和评估，通过报送政策实施情况，开展第三方绩效评估，处理好群众投诉建议。要注重复核与检查，建立定期复核和随机抽查制度，加强对基层审核部门的工作指导，主动接受财政、审计、监察部门监督。</w:t>
      </w:r>
    </w:p>
    <w:p>
      <w:pPr>
        <w:spacing w:line="600" w:lineRule="exact"/>
        <w:ind w:firstLine="624" w:firstLineChars="200"/>
        <w:rPr>
          <w:rStyle w:val="5"/>
          <w:rFonts w:ascii="黑体" w:hAnsi="黑体" w:eastAsia="黑体" w:cs="仿宋"/>
          <w:b w:val="0"/>
          <w:bCs w:val="0"/>
          <w:color w:val="000000" w:themeColor="text1"/>
          <w:spacing w:val="-4"/>
          <w:sz w:val="32"/>
          <w:szCs w:val="32"/>
          <w14:textFill>
            <w14:solidFill>
              <w14:schemeClr w14:val="tx1"/>
            </w14:solidFill>
          </w14:textFill>
        </w:rPr>
      </w:pPr>
      <w:r>
        <w:rPr>
          <w:rStyle w:val="5"/>
          <w:rFonts w:hint="eastAsia" w:ascii="黑体" w:hAnsi="黑体" w:eastAsia="黑体" w:cs="仿宋"/>
          <w:b w:val="0"/>
          <w:bCs w:val="0"/>
          <w:color w:val="000000" w:themeColor="text1"/>
          <w:spacing w:val="-4"/>
          <w:sz w:val="32"/>
          <w:szCs w:val="32"/>
          <w14:textFill>
            <w14:solidFill>
              <w14:schemeClr w14:val="tx1"/>
            </w14:solidFill>
          </w14:textFill>
        </w:rPr>
        <w:t>五、其他需要说明的问题</w:t>
      </w:r>
    </w:p>
    <w:p>
      <w:pPr>
        <w:spacing w:line="600" w:lineRule="exact"/>
        <w:ind w:firstLine="627" w:firstLineChars="200"/>
        <w:rPr>
          <w:rFonts w:hint="eastAsia" w:ascii="楷体_GB2312" w:hAnsi="仿宋" w:eastAsia="楷体_GB2312" w:cs="仿宋"/>
          <w:b/>
          <w:color w:val="000000" w:themeColor="text1"/>
          <w:spacing w:val="-4"/>
          <w:sz w:val="32"/>
          <w:szCs w:val="32"/>
          <w14:textFill>
            <w14:solidFill>
              <w14:schemeClr w14:val="tx1"/>
            </w14:solidFill>
          </w14:textFill>
        </w:rPr>
      </w:pPr>
      <w:r>
        <w:rPr>
          <w:rFonts w:hint="eastAsia" w:ascii="楷体_GB2312" w:hAnsi="仿宋" w:eastAsia="楷体_GB2312" w:cs="仿宋"/>
          <w:b/>
          <w:color w:val="000000" w:themeColor="text1"/>
          <w:spacing w:val="-4"/>
          <w:sz w:val="32"/>
          <w:szCs w:val="32"/>
          <w14:textFill>
            <w14:solidFill>
              <w14:schemeClr w14:val="tx1"/>
            </w14:solidFill>
          </w14:textFill>
        </w:rPr>
        <w:t>（一）后续工作计划</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提高资金使用效益，进一步改造残疾人生活状况、加快残疾人社会保障和服务体系建设。有效提高残疾人生活质量，后续我们将继续提高资金的使用效益，为残疾人基本生活保驾护航。</w:t>
      </w:r>
    </w:p>
    <w:p>
      <w:pPr>
        <w:numPr>
          <w:ilvl w:val="0"/>
          <w:numId w:val="1"/>
        </w:numPr>
        <w:spacing w:line="600" w:lineRule="exact"/>
        <w:ind w:firstLine="627" w:firstLineChars="200"/>
        <w:rPr>
          <w:rFonts w:hint="eastAsia" w:ascii="楷体_GB2312" w:eastAsia="楷体_GB2312" w:hAnsiTheme="majorEastAsia" w:cstheme="majorEastAsia"/>
          <w:b/>
          <w:color w:val="000000" w:themeColor="text1"/>
          <w:spacing w:val="-4"/>
          <w:sz w:val="32"/>
          <w:szCs w:val="32"/>
          <w14:textFill>
            <w14:solidFill>
              <w14:schemeClr w14:val="tx1"/>
            </w14:solidFill>
          </w14:textFill>
        </w:rPr>
      </w:pPr>
      <w:r>
        <w:rPr>
          <w:rFonts w:hint="eastAsia" w:ascii="楷体_GB2312" w:eastAsia="楷体_GB2312" w:hAnsiTheme="majorEastAsia" w:cstheme="majorEastAsia"/>
          <w:b/>
          <w:color w:val="000000" w:themeColor="text1"/>
          <w:spacing w:val="-4"/>
          <w:sz w:val="32"/>
          <w:szCs w:val="32"/>
          <w14:textFill>
            <w14:solidFill>
              <w14:schemeClr w14:val="tx1"/>
            </w14:solidFill>
          </w14:textFill>
        </w:rPr>
        <w:t>主要经验及做法、存在问题和建议</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经验及做法：1、完善相关制度，探索特别补助办法。明确了各部门帮扶的主要措施和申报资格条件、办理程序等。</w:t>
      </w:r>
    </w:p>
    <w:p>
      <w:pPr>
        <w:numPr>
          <w:ilvl w:val="0"/>
          <w:numId w:val="2"/>
        </w:num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加大宣传力度。各乡镇街道全面掌握残疾人两项补贴制度内容及相关工作职责，大力开展宣传工作，营造良好舆论氛围。利用报纸、宣传展板、标语、橱窗，将补助的资格条件、标准、发放渠道和领取方式等内容向群众公示，便于群众随时查看，切实做到宣传工作齐门挨户，家喻户晓。要采用灵活多样形式宣传解读残疾人两项补贴制度，使残疾人及其家属了解政策内容和基本申领要求，做到应补尽补。同时也要准确把握补贴对象条件标准，尊重残疾人申领意愿，强调自愿申请。</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搭建平台，亲情帮扶牵手解困。根据残疾家庭的特点，搭建了联系、健康、精神、即由乡镇（街道）一名干部、社区干部、志愿者负责联系一户残疾人，与他们建立亲情关系。通过节日慰问、日常走访、心理辅导、聊天谈心、保健咨询、家政服务、就医陪护等活动，加强补助对象之间的感情交流，使他们时刻感受到社会大家庭的温暖。</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4、加大与残联联系力度。要求残联助理员及时与乡镇民政助理员数据对接，数据报送时效同步。</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存在问题和建议：</w:t>
      </w:r>
    </w:p>
    <w:p>
      <w:pPr>
        <w:spacing w:line="600" w:lineRule="exact"/>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残疾人两补通过一卡通发放，个别乡镇场比较偏远，残疾人行动不便，取款机没有普及到乡镇，农场，牧场。取款难问题建议解决。</w:t>
      </w:r>
    </w:p>
    <w:p>
      <w:pPr>
        <w:spacing w:line="600" w:lineRule="exact"/>
        <w:ind w:firstLine="627" w:firstLineChars="200"/>
        <w:rPr>
          <w:rFonts w:hint="eastAsia" w:ascii="楷体_GB2312" w:eastAsia="楷体_GB2312" w:hAnsiTheme="majorEastAsia" w:cstheme="majorEastAsia"/>
          <w:color w:val="000000" w:themeColor="text1"/>
          <w:sz w:val="32"/>
          <w:szCs w:val="32"/>
          <w14:textFill>
            <w14:solidFill>
              <w14:schemeClr w14:val="tx1"/>
            </w14:solidFill>
          </w14:textFill>
        </w:rPr>
      </w:pPr>
      <w:r>
        <w:rPr>
          <w:rStyle w:val="5"/>
          <w:rFonts w:hint="eastAsia" w:ascii="楷体_GB2312" w:eastAsia="楷体_GB2312" w:hAnsiTheme="majorEastAsia" w:cstheme="majorEastAsia"/>
          <w:color w:val="000000" w:themeColor="text1"/>
          <w:spacing w:val="-4"/>
          <w:sz w:val="32"/>
          <w:szCs w:val="32"/>
          <w14:textFill>
            <w14:solidFill>
              <w14:schemeClr w14:val="tx1"/>
            </w14:solidFill>
          </w14:textFill>
        </w:rPr>
        <w:t>（三）其他</w:t>
      </w:r>
    </w:p>
    <w:p>
      <w:pPr>
        <w:spacing w:line="600" w:lineRule="exact"/>
        <w:ind w:firstLine="624" w:firstLineChars="200"/>
        <w:rPr>
          <w:rStyle w:val="5"/>
          <w:rFonts w:hint="eastAsia" w:ascii="仿宋_GB2312" w:hAnsi="仿宋" w:eastAsia="仿宋_GB2312" w:cs="仿宋"/>
          <w:b w:val="0"/>
          <w:bCs w:val="0"/>
          <w:color w:val="000000" w:themeColor="text1"/>
          <w:spacing w:val="-4"/>
          <w:sz w:val="32"/>
          <w:szCs w:val="32"/>
          <w14:textFill>
            <w14:solidFill>
              <w14:schemeClr w14:val="tx1"/>
            </w14:solidFill>
          </w14:textFill>
        </w:rPr>
      </w:pPr>
      <w:r>
        <w:rPr>
          <w:rStyle w:val="5"/>
          <w:rFonts w:hint="eastAsia" w:ascii="仿宋_GB2312" w:hAnsi="仿宋" w:eastAsia="仿宋_GB2312" w:cs="仿宋"/>
          <w:b w:val="0"/>
          <w:bCs w:val="0"/>
          <w:color w:val="000000" w:themeColor="text1"/>
          <w:spacing w:val="-4"/>
          <w:sz w:val="32"/>
          <w:szCs w:val="32"/>
          <w14:textFill>
            <w14:solidFill>
              <w14:schemeClr w14:val="tx1"/>
            </w14:solidFill>
          </w14:textFill>
        </w:rPr>
        <w:t>严格审核审批制度，通过公开形式召开村民代表会议，采取票决制方式，进行民主评议，对申请家庭作出初审决定;其次乡镇通过复核，召开乡镇社会救助评审小组会议进行评议审核；再由县民政局入户进行复核后，召开县社会救助工作领导小组成员及相关入户调查工作人员审批会议，研究确定享受对象。对社会救助申请对象做到“三榜”公示。</w:t>
      </w:r>
    </w:p>
    <w:p>
      <w:pPr>
        <w:spacing w:line="600" w:lineRule="exact"/>
        <w:ind w:firstLine="624" w:firstLineChars="200"/>
        <w:rPr>
          <w:rStyle w:val="5"/>
          <w:rFonts w:ascii="黑体" w:hAnsi="黑体" w:eastAsia="黑体" w:cs="仿宋"/>
          <w:b w:val="0"/>
          <w:color w:val="000000" w:themeColor="text1"/>
          <w:spacing w:val="-4"/>
          <w:sz w:val="32"/>
          <w:szCs w:val="32"/>
          <w14:textFill>
            <w14:solidFill>
              <w14:schemeClr w14:val="tx1"/>
            </w14:solidFill>
          </w14:textFill>
        </w:rPr>
      </w:pPr>
      <w:r>
        <w:rPr>
          <w:rStyle w:val="5"/>
          <w:rFonts w:hint="eastAsia" w:ascii="黑体" w:hAnsi="黑体" w:eastAsia="黑体" w:cstheme="majorEastAsia"/>
          <w:b w:val="0"/>
          <w:color w:val="000000" w:themeColor="text1"/>
          <w:spacing w:val="-4"/>
          <w:sz w:val="32"/>
          <w:szCs w:val="32"/>
          <w14:textFill>
            <w14:solidFill>
              <w14:schemeClr w14:val="tx1"/>
            </w14:solidFill>
          </w14:textFill>
        </w:rPr>
        <w:t>六、项</w:t>
      </w:r>
      <w:r>
        <w:rPr>
          <w:rStyle w:val="5"/>
          <w:rFonts w:hint="eastAsia" w:ascii="黑体" w:hAnsi="黑体" w:eastAsia="黑体" w:cstheme="majorEastAsia"/>
          <w:b w:val="0"/>
          <w:bCs w:val="0"/>
          <w:color w:val="000000" w:themeColor="text1"/>
          <w:spacing w:val="-4"/>
          <w:sz w:val="32"/>
          <w:szCs w:val="32"/>
          <w14:textFill>
            <w14:solidFill>
              <w14:schemeClr w14:val="tx1"/>
            </w14:solidFill>
          </w14:textFill>
        </w:rPr>
        <w:t>目评价工作情况</w:t>
      </w:r>
    </w:p>
    <w:p>
      <w:pPr>
        <w:spacing w:line="600" w:lineRule="exact"/>
        <w:ind w:firstLine="624" w:firstLineChars="200"/>
        <w:rPr>
          <w:rStyle w:val="5"/>
          <w:rFonts w:hint="eastAsia" w:ascii="仿宋_GB2312" w:hAnsi="仿宋" w:eastAsia="仿宋_GB2312" w:cs="仿宋"/>
          <w:b w:val="0"/>
          <w:color w:val="000000" w:themeColor="text1"/>
          <w:spacing w:val="-4"/>
          <w:sz w:val="32"/>
          <w:szCs w:val="32"/>
          <w14:textFill>
            <w14:solidFill>
              <w14:schemeClr w14:val="tx1"/>
            </w14:solidFill>
          </w14:textFill>
        </w:rPr>
      </w:pPr>
      <w:r>
        <w:rPr>
          <w:rStyle w:val="5"/>
          <w:rFonts w:hint="eastAsia" w:ascii="方正仿宋_GBK" w:hAnsi="仿宋" w:eastAsia="方正仿宋_GBK" w:cs="仿宋"/>
          <w:b w:val="0"/>
          <w:color w:val="000000" w:themeColor="text1"/>
          <w:spacing w:val="-4"/>
          <w:sz w:val="32"/>
          <w:szCs w:val="32"/>
          <w14:textFill>
            <w14:solidFill>
              <w14:schemeClr w14:val="tx1"/>
            </w14:solidFill>
          </w14:textFill>
        </w:rPr>
        <w:t xml:space="preserve"> </w:t>
      </w:r>
      <w:r>
        <w:rPr>
          <w:rStyle w:val="5"/>
          <w:rFonts w:hint="eastAsia" w:ascii="仿宋_GB2312" w:hAnsi="仿宋" w:eastAsia="仿宋_GB2312" w:cs="仿宋"/>
          <w:b w:val="0"/>
          <w:color w:val="000000" w:themeColor="text1"/>
          <w:spacing w:val="-4"/>
          <w:sz w:val="32"/>
          <w:szCs w:val="32"/>
          <w14:textFill>
            <w14:solidFill>
              <w14:schemeClr w14:val="tx1"/>
            </w14:solidFill>
          </w14:textFill>
        </w:rPr>
        <w:t>2018年底，本年残疾人工作即将结束，为了保证残疾人及其家属享受政策满意度，我局开展了一次大走访，共分3组，每组2-3人，专门针对民政工作社会救助满意度方面的调查对12个乡镇中残疾人随机走访20户共计67人，通过两天的走访入户，统计得出残疾人及家属对民政工作满意率达到95%。对我局工作人员给予认同，我局将继续全心全意为人民服务。</w:t>
      </w:r>
    </w:p>
    <w:p>
      <w:pPr>
        <w:spacing w:line="600" w:lineRule="exact"/>
        <w:ind w:firstLine="624" w:firstLineChars="200"/>
        <w:rPr>
          <w:rStyle w:val="5"/>
          <w:rFonts w:ascii="黑体" w:hAnsi="黑体" w:eastAsia="黑体" w:cstheme="majorEastAsia"/>
          <w:b w:val="0"/>
          <w:color w:val="000000" w:themeColor="text1"/>
          <w:spacing w:val="-4"/>
          <w:sz w:val="32"/>
          <w:szCs w:val="32"/>
          <w14:textFill>
            <w14:solidFill>
              <w14:schemeClr w14:val="tx1"/>
            </w14:solidFill>
          </w14:textFill>
        </w:rPr>
      </w:pPr>
      <w:r>
        <w:rPr>
          <w:rStyle w:val="5"/>
          <w:rFonts w:hint="eastAsia" w:ascii="黑体" w:hAnsi="黑体" w:eastAsia="黑体" w:cstheme="majorEastAsia"/>
          <w:b w:val="0"/>
          <w:bCs w:val="0"/>
          <w:color w:val="000000" w:themeColor="text1"/>
          <w:spacing w:val="-4"/>
          <w:sz w:val="32"/>
          <w:szCs w:val="32"/>
          <w14:textFill>
            <w14:solidFill>
              <w14:schemeClr w14:val="tx1"/>
            </w14:solidFill>
          </w14:textFill>
        </w:rPr>
        <w:t>七、附表</w:t>
      </w:r>
    </w:p>
    <w:p>
      <w:pPr>
        <w:spacing w:line="600" w:lineRule="exact"/>
        <w:ind w:firstLine="624" w:firstLineChars="200"/>
        <w:rPr>
          <w:rStyle w:val="5"/>
          <w:rFonts w:hint="eastAsia" w:ascii="仿宋_GB2312" w:hAnsi="仿宋" w:eastAsia="仿宋_GB2312" w:cs="仿宋"/>
          <w:b w:val="0"/>
          <w:color w:val="000000" w:themeColor="text1"/>
          <w:spacing w:val="-4"/>
          <w:sz w:val="32"/>
          <w:szCs w:val="32"/>
          <w14:textFill>
            <w14:solidFill>
              <w14:schemeClr w14:val="tx1"/>
            </w14:solidFill>
          </w14:textFill>
        </w:rPr>
      </w:pPr>
      <w:r>
        <w:rPr>
          <w:rStyle w:val="5"/>
          <w:rFonts w:hint="eastAsia" w:ascii="仿宋_GB2312" w:hAnsi="仿宋" w:eastAsia="仿宋_GB2312" w:cs="仿宋"/>
          <w:b w:val="0"/>
          <w:color w:val="000000" w:themeColor="text1"/>
          <w:spacing w:val="-4"/>
          <w:sz w:val="32"/>
          <w:szCs w:val="32"/>
          <w14:textFill>
            <w14:solidFill>
              <w14:schemeClr w14:val="tx1"/>
            </w14:solidFill>
          </w14:textFill>
        </w:rPr>
        <w:t>《和静县民政局财政项目支出绩效自评表》</w:t>
      </w: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2"/>
          <w:jc w:val="center"/>
        </w:pPr>
        <w:r>
          <w:fldChar w:fldCharType="begin"/>
        </w:r>
        <w:r>
          <w:instrText xml:space="preserve">PAGE   \* MERGEFORMAT</w:instrText>
        </w:r>
        <w:r>
          <w:fldChar w:fldCharType="separate"/>
        </w:r>
        <w:r>
          <w:rPr>
            <w:lang w:val="zh-CN"/>
          </w:rPr>
          <w:t>9</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55407A"/>
    <w:multiLevelType w:val="singleLevel"/>
    <w:tmpl w:val="8C55407A"/>
    <w:lvl w:ilvl="0" w:tentative="0">
      <w:start w:val="2"/>
      <w:numFmt w:val="chineseCounting"/>
      <w:suff w:val="nothing"/>
      <w:lvlText w:val="（%1）"/>
      <w:lvlJc w:val="left"/>
      <w:rPr>
        <w:rFonts w:hint="eastAsia"/>
      </w:rPr>
    </w:lvl>
  </w:abstractNum>
  <w:abstractNum w:abstractNumId="1">
    <w:nsid w:val="DDC527AC"/>
    <w:multiLevelType w:val="singleLevel"/>
    <w:tmpl w:val="DDC527AC"/>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E529F"/>
    <w:rsid w:val="2CBE529F"/>
    <w:rsid w:val="48C12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2021-06-02T12:47:00Z</dcterms:created>
  <dc:creator>Administrator</dc:creator>
  <cp:lastModifiedBy>Administrator</cp:lastModifiedBy>
  <dcterms:modified xsi:type="dcterms:W3CDTF">2021-06-02T12:50:06Z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