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Cs/>
          <w:kern w:val="0"/>
          <w:sz w:val="44"/>
          <w:szCs w:val="44"/>
        </w:rPr>
      </w:pPr>
    </w:p>
    <w:p>
      <w:pPr>
        <w:spacing w:line="540" w:lineRule="exact"/>
        <w:jc w:val="center"/>
        <w:rPr>
          <w:rFonts w:ascii="方正小标宋_GBK" w:hAnsi="华文中宋" w:eastAsia="方正小标宋_GBK" w:cs="宋体"/>
          <w:bCs/>
          <w:kern w:val="0"/>
          <w:sz w:val="44"/>
          <w:szCs w:val="44"/>
        </w:rPr>
      </w:pPr>
      <w:r>
        <w:rPr>
          <w:rFonts w:hint="eastAsia" w:ascii="方正小标宋_GBK" w:hAnsi="华文中宋" w:eastAsia="方正小标宋_GBK" w:cs="宋体"/>
          <w:bCs/>
          <w:kern w:val="0"/>
          <w:sz w:val="44"/>
          <w:szCs w:val="44"/>
        </w:rPr>
        <w:t>新疆维吾尔自治区巴州和静县</w:t>
      </w:r>
      <w:r>
        <w:rPr>
          <w:rFonts w:hint="eastAsia" w:ascii="方正小标宋_GBK" w:hAnsi="仿宋" w:eastAsia="方正小标宋_GBK" w:cs="仿宋"/>
          <w:bCs/>
          <w:kern w:val="0"/>
          <w:sz w:val="44"/>
          <w:szCs w:val="44"/>
        </w:rPr>
        <w:t>民政局</w:t>
      </w:r>
      <w:r>
        <w:rPr>
          <w:rFonts w:hint="eastAsia" w:ascii="方正小标宋_GBK" w:hAnsi="华文中宋" w:eastAsia="方正小标宋_GBK" w:cs="宋体"/>
          <w:bCs/>
          <w:kern w:val="0"/>
          <w:sz w:val="44"/>
          <w:szCs w:val="44"/>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rPr>
          <w:rFonts w:hint="eastAsia" w:ascii="仿宋" w:hAnsi="仿宋" w:eastAsia="仿宋" w:cs="仿宋"/>
          <w:kern w:val="0"/>
          <w:sz w:val="36"/>
          <w:szCs w:val="36"/>
        </w:rPr>
      </w:pPr>
      <w:r>
        <w:rPr>
          <w:rFonts w:hint="eastAsia" w:ascii="仿宋" w:hAnsi="仿宋" w:eastAsia="仿宋" w:cs="仿宋"/>
          <w:kern w:val="0"/>
          <w:sz w:val="36"/>
          <w:szCs w:val="36"/>
        </w:rPr>
        <w:t>项目名称：80岁以上老人高龄补贴</w:t>
      </w:r>
    </w:p>
    <w:p>
      <w:pPr>
        <w:spacing w:line="700" w:lineRule="exact"/>
        <w:rPr>
          <w:rFonts w:ascii="仿宋" w:hAnsi="仿宋" w:eastAsia="仿宋" w:cs="仿宋"/>
          <w:kern w:val="0"/>
          <w:sz w:val="36"/>
          <w:szCs w:val="36"/>
        </w:rPr>
      </w:pPr>
      <w:bookmarkStart w:id="0" w:name="_GoBack"/>
      <w:bookmarkEnd w:id="0"/>
      <w:r>
        <w:rPr>
          <w:rFonts w:hint="eastAsia" w:ascii="仿宋" w:hAnsi="仿宋" w:eastAsia="仿宋" w:cs="仿宋"/>
          <w:kern w:val="0"/>
          <w:sz w:val="36"/>
          <w:szCs w:val="36"/>
        </w:rPr>
        <w:t>实施单位（公章）：和静县民政局</w:t>
      </w:r>
    </w:p>
    <w:p>
      <w:pPr>
        <w:spacing w:line="700" w:lineRule="exact"/>
        <w:rPr>
          <w:rFonts w:ascii="仿宋" w:hAnsi="仿宋" w:eastAsia="仿宋" w:cs="仿宋"/>
          <w:kern w:val="0"/>
          <w:sz w:val="36"/>
          <w:szCs w:val="36"/>
        </w:rPr>
      </w:pPr>
      <w:r>
        <w:rPr>
          <w:rFonts w:hint="eastAsia" w:ascii="仿宋" w:hAnsi="仿宋" w:eastAsia="仿宋" w:cs="仿宋"/>
          <w:kern w:val="0"/>
          <w:sz w:val="36"/>
          <w:szCs w:val="36"/>
        </w:rPr>
        <w:t>主管部门（公章）：和静县民政局</w:t>
      </w:r>
    </w:p>
    <w:p>
      <w:pPr>
        <w:spacing w:line="700" w:lineRule="exact"/>
        <w:rPr>
          <w:rFonts w:ascii="仿宋" w:hAnsi="仿宋" w:eastAsia="仿宋" w:cs="仿宋"/>
          <w:kern w:val="0"/>
          <w:sz w:val="36"/>
          <w:szCs w:val="36"/>
        </w:rPr>
      </w:pPr>
      <w:r>
        <w:rPr>
          <w:rFonts w:hint="eastAsia" w:ascii="仿宋" w:hAnsi="仿宋" w:eastAsia="仿宋" w:cs="仿宋"/>
          <w:kern w:val="0"/>
          <w:sz w:val="36"/>
          <w:szCs w:val="36"/>
        </w:rPr>
        <w:t>项目负责人（签章）：早热古丽</w:t>
      </w:r>
    </w:p>
    <w:p>
      <w:pPr>
        <w:spacing w:line="700" w:lineRule="exact"/>
        <w:rPr>
          <w:rFonts w:ascii="仿宋" w:hAnsi="仿宋" w:eastAsia="仿宋" w:cs="仿宋"/>
          <w:kern w:val="0"/>
          <w:sz w:val="36"/>
          <w:szCs w:val="36"/>
        </w:rPr>
      </w:pPr>
      <w:r>
        <w:rPr>
          <w:rFonts w:hint="eastAsia" w:ascii="仿宋" w:hAnsi="仿宋" w:eastAsia="仿宋" w:cs="仿宋"/>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600" w:lineRule="exact"/>
        <w:ind w:firstLine="627" w:firstLineChars="200"/>
        <w:rPr>
          <w:rStyle w:val="18"/>
          <w:rFonts w:ascii="黑体" w:hAnsi="黑体" w:eastAsia="黑体" w:cstheme="majorEastAsia"/>
          <w:b w:val="0"/>
          <w:spacing w:val="-4"/>
          <w:sz w:val="32"/>
          <w:szCs w:val="32"/>
        </w:rPr>
      </w:pPr>
      <w:r>
        <w:rPr>
          <w:rStyle w:val="18"/>
          <w:rFonts w:hint="eastAsia" w:ascii="黑体" w:hAnsi="黑体" w:eastAsia="黑体" w:cstheme="majorEastAsia"/>
          <w:bCs w:val="0"/>
          <w:spacing w:val="-4"/>
          <w:sz w:val="32"/>
          <w:szCs w:val="32"/>
        </w:rPr>
        <w:t>一、项目概况</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（一）项目单位基本情况</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和静县民政局位于巴音路1688号，建筑面积9765.27平方米，总投资1915万元。1981年2月，和静县批准设立和静县民政科，1984年9月改为和静县民政局，核定编制13人，内设办公室、社救股、救灾及区划地名股、社会事务及基层政权建设股。下属机构为县中心敬老院、儿童福利院，有政府购岗人员41 名。挂靠民政局的单位有老龄办，列事业编制2名。截至2018年9月，和静县民政局有干部28名，（行政12人，事业13人，工勤3人）。乡（镇）、场设民政办公室12个，编制和人事由乡镇人民政府管理，民政局负责业务指导。</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1、宣传、贯彻、执行中央、自治区、自治州和县党委民政工作法律法规和政策规定，制订全县民政事业发展规划和年度计划，并组织实施、监督检查。</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统筹社会救助体系建设，负责全县城乡特困人员救助、城乡居民最低生活保障、孤儿救助、临时救助、生活无着流浪乞讨人员救助工作；调查、审核、审批全县民政救助对象，组织实施救助，落实各项民政救助政策。</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负责、指导村民（居民）委员会（监委会、组委会）换届民主选举及民主决策、民主管理和民主监督工作。指导开展村务公开，推进基层民主政治建设。负责、指导社区建设工作，推进城乡社区服务体系建设，推进社区服务管理规范化。</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4、负责全县社会组织的审批、登记和监督管理；查处社会组织的违法行为和非法社会组织。</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5、负责全县行政区划工作。承担县、镇（街道办）行政区域的设立、撤销、调整、地名命名、更名和界线变更及政府驻地迁移的初审上报工作。调处县境内行政区域边界争议。</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6、负责组织、协调与毗邻县行政区域界线的勘定,负责勘界历史资料的保存利用；参与市、县际边界争议的联合调查和调处工作；管理行政区域界线界桩标志。负责全县规范地名标志的设置和管理，收集整理地名信息资料，管理地名档案。负责行政区划图的审核、勘定工作。</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7、负责拟定儿童福利、孤弃儿童保障、儿童收养、儿童救助保护政策、标准，健全农村留守儿童关爱服务体系和困境儿童保障制度。</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8、负责全县婚姻登记、收养登记的发证及信息、档案管理工作，推进婚俗改革。</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9、负责殡葬管理和殡葬制度改革，规范殡仪服务、公墓服务行为，加强公益性公墓建设与管理，促进殡葬事业健康发展。</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10、统筹推进、督促指导、监督管理养老服务工作，拟定养老服务体系建设规划、政策、标准并组织实施，承担老年人福利和特殊困难老年人救助工作。指导建设养老院、农村幸福院、日间照料中心、居家养老、智慧养老等各种养老服务机构。</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11、负责全县民政事业统计信息报送工作；强化民政财务，对全县民政事业经费作出预、决算，监督民政事业费的使用和管理。</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12、负责志愿者队伍建设管理，推进社区工作人才队伍建设和志愿者队伍建设。</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13、承担本行业本领域有关方面的数据采集推送、安全管理等工作。</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14、负责本行业本领域的安全生产监管工作。</w:t>
      </w:r>
    </w:p>
    <w:p>
      <w:pPr>
        <w:spacing w:line="600" w:lineRule="exact"/>
        <w:ind w:firstLine="640" w:firstLineChars="200"/>
        <w:rPr>
          <w:rFonts w:ascii="仿宋" w:hAnsi="仿宋" w:eastAsia="仿宋" w:cs="仿宋"/>
          <w:sz w:val="32"/>
          <w:szCs w:val="32"/>
        </w:rPr>
      </w:pPr>
      <w:r>
        <w:rPr>
          <w:rFonts w:hint="eastAsia" w:ascii="仿宋_GB2312" w:hAnsi="仿宋" w:eastAsia="仿宋_GB2312" w:cs="仿宋"/>
          <w:sz w:val="32"/>
          <w:szCs w:val="32"/>
        </w:rPr>
        <w:t>15、完成县党委、县政府交办的其他任务。</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（二）项目预算绩效目标设定情况</w:t>
      </w:r>
    </w:p>
    <w:p>
      <w:pPr>
        <w:spacing w:line="600" w:lineRule="exact"/>
        <w:ind w:firstLine="624" w:firstLineChars="200"/>
        <w:rPr>
          <w:rStyle w:val="18"/>
          <w:rFonts w:ascii="仿宋_GB2312" w:eastAsia="仿宋_GB2312" w:hAnsiTheme="majorEastAsia" w:cstheme="majorEastAsia"/>
          <w:b w:val="0"/>
          <w:spacing w:val="-4"/>
          <w:sz w:val="32"/>
          <w:szCs w:val="32"/>
        </w:rPr>
      </w:pPr>
      <w:r>
        <w:rPr>
          <w:rStyle w:val="18"/>
          <w:rFonts w:hint="eastAsia" w:ascii="仿宋_GB2312" w:hAnsi="仿宋" w:eastAsia="仿宋_GB2312" w:cs="仿宋"/>
          <w:b w:val="0"/>
          <w:spacing w:val="-4"/>
          <w:sz w:val="32"/>
          <w:szCs w:val="32"/>
        </w:rPr>
        <w:t>高龄津贴资金用于80岁以上老人生活补贴、体检。</w:t>
      </w:r>
    </w:p>
    <w:p>
      <w:pPr>
        <w:spacing w:line="600" w:lineRule="exact"/>
        <w:ind w:firstLine="627" w:firstLineChars="200"/>
        <w:rPr>
          <w:rStyle w:val="18"/>
          <w:rFonts w:ascii="黑体" w:hAnsi="黑体" w:eastAsia="黑体" w:cstheme="majorEastAsia"/>
          <w:bCs w:val="0"/>
          <w:spacing w:val="-4"/>
          <w:sz w:val="32"/>
          <w:szCs w:val="32"/>
        </w:rPr>
      </w:pPr>
      <w:r>
        <w:rPr>
          <w:rStyle w:val="18"/>
          <w:rFonts w:hint="eastAsia" w:ascii="黑体" w:hAnsi="黑体" w:eastAsia="黑体" w:cstheme="majorEastAsia"/>
          <w:bCs w:val="0"/>
          <w:spacing w:val="-4"/>
          <w:sz w:val="32"/>
          <w:szCs w:val="32"/>
        </w:rPr>
        <w:t>二、项目资金使用及管理情况</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（一）项目资金安排落实、总投入等情况分析</w:t>
      </w:r>
    </w:p>
    <w:p>
      <w:pPr>
        <w:spacing w:line="600" w:lineRule="exact"/>
        <w:ind w:firstLine="624" w:firstLineChars="200"/>
        <w:rPr>
          <w:rStyle w:val="18"/>
          <w:rFonts w:ascii="仿宋_GB2312" w:eastAsia="仿宋_GB2312" w:hAnsiTheme="majorEastAsia" w:cstheme="majorEastAsia"/>
          <w:b w:val="0"/>
          <w:spacing w:val="-4"/>
          <w:sz w:val="32"/>
          <w:szCs w:val="32"/>
        </w:rPr>
      </w:pPr>
      <w:r>
        <w:rPr>
          <w:rStyle w:val="18"/>
          <w:rFonts w:hint="eastAsia" w:ascii="仿宋_GB2312" w:hAnsi="仿宋" w:eastAsia="仿宋_GB2312" w:cs="仿宋"/>
          <w:b w:val="0"/>
          <w:spacing w:val="-4"/>
          <w:sz w:val="32"/>
          <w:szCs w:val="32"/>
        </w:rPr>
        <w:t>上级财政拨款49万元，本级安排62.73万元，共计</w:t>
      </w:r>
      <w:r>
        <w:rPr>
          <w:rFonts w:hint="eastAsia" w:ascii="仿宋_GB2312" w:hAnsi="仿宋" w:eastAsia="仿宋_GB2312" w:cs="仿宋"/>
          <w:sz w:val="32"/>
          <w:szCs w:val="32"/>
        </w:rPr>
        <w:t>111.73万元。</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（二）项目资金实际使用情况分析</w:t>
      </w:r>
    </w:p>
    <w:p>
      <w:pPr>
        <w:spacing w:line="600" w:lineRule="exact"/>
        <w:ind w:firstLine="624" w:firstLineChars="200"/>
        <w:rPr>
          <w:rStyle w:val="18"/>
          <w:rFonts w:hint="eastAsia" w:ascii="仿宋_GB2312" w:eastAsia="仿宋_GB2312"/>
          <w:b w:val="0"/>
          <w:spacing w:val="-4"/>
          <w:sz w:val="32"/>
          <w:szCs w:val="32"/>
        </w:rPr>
      </w:pPr>
      <w:r>
        <w:rPr>
          <w:rStyle w:val="18"/>
          <w:rFonts w:hint="eastAsia" w:ascii="仿宋_GB2312" w:eastAsia="仿宋_GB2312"/>
          <w:b w:val="0"/>
          <w:spacing w:val="-4"/>
          <w:sz w:val="32"/>
          <w:szCs w:val="32"/>
        </w:rPr>
        <w:t>上级财政拨款49万元，本级安排62.73万元，共计111.73万元，执行111.73万元,执行率100%。</w:t>
      </w:r>
    </w:p>
    <w:p>
      <w:pPr>
        <w:numPr>
          <w:ilvl w:val="0"/>
          <w:numId w:val="1"/>
        </w:numPr>
        <w:spacing w:line="600" w:lineRule="exact"/>
        <w:ind w:firstLine="627" w:firstLineChars="200"/>
        <w:rPr>
          <w:rStyle w:val="18"/>
          <w:rFonts w:ascii="黑体" w:hAnsi="黑体" w:eastAsia="黑体" w:cstheme="majorEastAsia"/>
          <w:spacing w:val="-4"/>
          <w:sz w:val="32"/>
          <w:szCs w:val="32"/>
        </w:rPr>
      </w:pPr>
      <w:r>
        <w:rPr>
          <w:rStyle w:val="18"/>
          <w:rFonts w:hint="eastAsia" w:ascii="黑体" w:hAnsi="黑体" w:eastAsia="黑体" w:cstheme="majorEastAsia"/>
          <w:spacing w:val="-4"/>
          <w:sz w:val="32"/>
          <w:szCs w:val="32"/>
        </w:rPr>
        <w:t>项目资金管理情况分析</w:t>
      </w:r>
    </w:p>
    <w:p>
      <w:pPr>
        <w:spacing w:line="600" w:lineRule="exact"/>
        <w:ind w:firstLine="624" w:firstLineChars="200"/>
        <w:rPr>
          <w:rFonts w:ascii="仿宋_GB2312" w:hAnsi="仿宋" w:eastAsia="仿宋_GB2312" w:cs="仿宋"/>
          <w:sz w:val="32"/>
          <w:szCs w:val="32"/>
        </w:rPr>
      </w:pPr>
      <w:r>
        <w:rPr>
          <w:rStyle w:val="18"/>
          <w:rFonts w:hint="eastAsia" w:ascii="仿宋_GB2312" w:hAnsi="仿宋" w:eastAsia="仿宋_GB2312" w:cs="仿宋"/>
          <w:b w:val="0"/>
          <w:bCs w:val="0"/>
          <w:spacing w:val="-4"/>
          <w:sz w:val="32"/>
          <w:szCs w:val="32"/>
        </w:rPr>
        <w:t>资金的拨付本着专款专用的原则，严格执行项目资金批准的使用计划和项目审核基础资料，不准挪用、挤占和随意扣压。专项资金报账拨付要附真实、有效、合法的凭证。</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乡镇、村督促工作进度，对工作推进过程中存在的问题及时进行指导，县民政局、各乡镇加大了工作审查力度。民政局负责该项目工作人员审核后统一上局委会研究，由党组成员全部审核通过后发放资金。</w:t>
      </w:r>
    </w:p>
    <w:p>
      <w:pPr>
        <w:spacing w:line="600" w:lineRule="exact"/>
        <w:ind w:firstLine="627" w:firstLineChars="200"/>
        <w:rPr>
          <w:rStyle w:val="18"/>
          <w:rFonts w:ascii="黑体" w:hAnsi="黑体" w:eastAsia="黑体" w:cstheme="majorEastAsia"/>
          <w:b w:val="0"/>
          <w:spacing w:val="-4"/>
          <w:sz w:val="32"/>
          <w:szCs w:val="32"/>
        </w:rPr>
      </w:pPr>
      <w:r>
        <w:rPr>
          <w:rStyle w:val="18"/>
          <w:rFonts w:hint="eastAsia" w:ascii="黑体" w:hAnsi="黑体" w:eastAsia="黑体" w:cstheme="majorEastAsia"/>
          <w:bCs w:val="0"/>
          <w:spacing w:val="-4"/>
          <w:sz w:val="32"/>
          <w:szCs w:val="32"/>
        </w:rPr>
        <w:t>三、项目组织实施情况</w:t>
      </w:r>
    </w:p>
    <w:p>
      <w:pPr>
        <w:spacing w:line="600" w:lineRule="exact"/>
        <w:ind w:firstLine="627" w:firstLineChars="200"/>
        <w:rPr>
          <w:rStyle w:val="18"/>
          <w:rFonts w:ascii="楷体_GB2312" w:eastAsia="楷体_GB2312" w:hAnsiTheme="majorEastAsia" w:cstheme="majorEastAsia"/>
          <w:spacing w:val="-4"/>
          <w:sz w:val="32"/>
          <w:szCs w:val="32"/>
        </w:rPr>
      </w:pPr>
      <w:r>
        <w:rPr>
          <w:rStyle w:val="18"/>
          <w:rFonts w:hint="eastAsia" w:ascii="楷体_GB2312" w:eastAsia="楷体_GB2312" w:hAnsiTheme="majorEastAsia" w:cstheme="majorEastAsia"/>
          <w:spacing w:val="-4"/>
          <w:sz w:val="32"/>
          <w:szCs w:val="32"/>
        </w:rPr>
        <w:t>（一）项目组织情况分析</w:t>
      </w:r>
    </w:p>
    <w:p>
      <w:pPr>
        <w:spacing w:line="600" w:lineRule="exact"/>
        <w:ind w:firstLine="624" w:firstLineChars="200"/>
        <w:rPr>
          <w:rStyle w:val="18"/>
          <w:rFonts w:hint="eastAsia" w:ascii="仿宋_GB2312" w:eastAsia="仿宋_GB2312"/>
          <w:b w:val="0"/>
          <w:spacing w:val="-4"/>
          <w:sz w:val="32"/>
          <w:szCs w:val="32"/>
        </w:rPr>
      </w:pPr>
      <w:r>
        <w:rPr>
          <w:rStyle w:val="18"/>
          <w:rFonts w:hint="eastAsia" w:ascii="仿宋_GB2312" w:eastAsia="仿宋_GB2312"/>
          <w:b w:val="0"/>
          <w:spacing w:val="-4"/>
          <w:sz w:val="32"/>
          <w:szCs w:val="32"/>
        </w:rPr>
        <w:t>我局及时向县政府主要领导汇报，县分管批示要求民政局牵头，残联配合，研究提出贯彻实施意见。二是建立部门联系会议制度。局党组先后三次召开联系会议，促进了县本级政策的顺利出台和相关工作机制的建立健全。三是强化工作保障机制。符合被救助残疾人向所在村、社区民政干事申请补助，民政干事走访入户，核查申请的残疾人基本生活情况，核实情况属实后向所在乡镇民政办提交资料审核，再由乡镇向县级民政局提供资料由民政局具体负责残疾人工作人员审核资料，符合条件后分管领导签字，再由主管领导签字后，办公室盖章，符合享受残疾人两补人员资金汇总后给县财经领导小组打报告。最后交至财务拨款发放。</w:t>
      </w:r>
    </w:p>
    <w:p>
      <w:pPr>
        <w:numPr>
          <w:ilvl w:val="0"/>
          <w:numId w:val="2"/>
        </w:numPr>
        <w:spacing w:line="600" w:lineRule="exact"/>
        <w:ind w:firstLine="643" w:firstLineChars="200"/>
        <w:rPr>
          <w:rFonts w:ascii="楷体_GB2312" w:eastAsia="楷体_GB2312" w:hAnsiTheme="majorEastAsia" w:cstheme="majorEastAsia"/>
          <w:b/>
          <w:bCs/>
          <w:sz w:val="32"/>
          <w:szCs w:val="32"/>
        </w:rPr>
      </w:pPr>
      <w:r>
        <w:rPr>
          <w:rFonts w:hint="eastAsia" w:ascii="楷体_GB2312" w:eastAsia="楷体_GB2312" w:hAnsiTheme="majorEastAsia" w:cstheme="majorEastAsia"/>
          <w:b/>
          <w:bCs/>
          <w:sz w:val="32"/>
          <w:szCs w:val="32"/>
        </w:rPr>
        <w:t>项目管理情况分析。</w:t>
      </w:r>
    </w:p>
    <w:p>
      <w:pPr>
        <w:spacing w:line="600" w:lineRule="exact"/>
        <w:ind w:firstLine="624" w:firstLineChars="200"/>
        <w:rPr>
          <w:rFonts w:hint="eastAsia" w:ascii="仿宋_GB2312" w:eastAsia="仿宋_GB2312" w:hAnsiTheme="majorEastAsia" w:cstheme="majorEastAsia"/>
          <w:sz w:val="32"/>
          <w:szCs w:val="32"/>
        </w:rPr>
      </w:pPr>
      <w:r>
        <w:rPr>
          <w:rStyle w:val="18"/>
          <w:rFonts w:hint="eastAsia" w:ascii="仿宋_GB2312" w:hAnsi="仿宋" w:eastAsia="仿宋_GB2312" w:cs="仿宋"/>
          <w:b w:val="0"/>
          <w:spacing w:val="-4"/>
          <w:sz w:val="32"/>
          <w:szCs w:val="32"/>
        </w:rPr>
        <w:t>已建立管理制度，乡镇上报老人花名册核对审核，严格执行。</w:t>
      </w:r>
      <w:r>
        <w:rPr>
          <w:rFonts w:hint="eastAsia" w:ascii="仿宋_GB2312" w:hAnsi="仿宋" w:eastAsia="仿宋_GB2312" w:cs="仿宋"/>
          <w:sz w:val="32"/>
          <w:szCs w:val="32"/>
        </w:rPr>
        <w:t>该项目负责人年初制定高龄补贴项目工作计划，对</w:t>
      </w:r>
      <w:r>
        <w:rPr>
          <w:rStyle w:val="18"/>
          <w:rFonts w:hint="eastAsia" w:ascii="仿宋_GB2312" w:hAnsi="仿宋" w:eastAsia="仿宋_GB2312" w:cs="仿宋"/>
          <w:b w:val="0"/>
          <w:spacing w:val="-4"/>
          <w:sz w:val="32"/>
          <w:szCs w:val="32"/>
        </w:rPr>
        <w:t>已建立管理制度，乡镇上报老人花名册核对审核，严格执行，</w:t>
      </w:r>
      <w:r>
        <w:rPr>
          <w:rFonts w:hint="eastAsia" w:ascii="仿宋_GB2312" w:hAnsi="仿宋" w:eastAsia="仿宋_GB2312" w:cs="仿宋"/>
          <w:sz w:val="32"/>
          <w:szCs w:val="32"/>
        </w:rPr>
        <w:t>不定期走访入户调查满意度。</w:t>
      </w:r>
    </w:p>
    <w:p>
      <w:pPr>
        <w:spacing w:line="600" w:lineRule="exact"/>
        <w:ind w:firstLine="627" w:firstLineChars="200"/>
        <w:rPr>
          <w:rStyle w:val="18"/>
          <w:rFonts w:ascii="黑体" w:hAnsi="黑体" w:eastAsia="黑体" w:cstheme="majorEastAsia"/>
          <w:bCs w:val="0"/>
          <w:sz w:val="32"/>
          <w:szCs w:val="32"/>
        </w:rPr>
      </w:pPr>
      <w:r>
        <w:rPr>
          <w:rStyle w:val="18"/>
          <w:rFonts w:hint="eastAsia" w:ascii="黑体" w:hAnsi="黑体" w:eastAsia="黑体" w:cstheme="majorEastAsia"/>
          <w:bCs w:val="0"/>
          <w:spacing w:val="-4"/>
          <w:sz w:val="32"/>
          <w:szCs w:val="32"/>
        </w:rPr>
        <w:t>四、项目绩效情况</w:t>
      </w:r>
    </w:p>
    <w:p>
      <w:pPr>
        <w:spacing w:line="600" w:lineRule="exact"/>
        <w:ind w:firstLine="627" w:firstLineChars="200"/>
        <w:rPr>
          <w:rFonts w:ascii="楷体_GB2312" w:eastAsia="楷体_GB2312" w:hAnsiTheme="majorEastAsia" w:cstheme="majorEastAsia"/>
          <w:b/>
          <w:spacing w:val="-4"/>
          <w:sz w:val="32"/>
          <w:szCs w:val="32"/>
        </w:rPr>
      </w:pPr>
      <w:r>
        <w:rPr>
          <w:rFonts w:hint="eastAsia" w:ascii="楷体_GB2312" w:eastAsia="楷体_GB2312" w:hAnsiTheme="majorEastAsia" w:cstheme="majorEastAsia"/>
          <w:b/>
          <w:spacing w:val="-4"/>
          <w:sz w:val="32"/>
          <w:szCs w:val="32"/>
        </w:rPr>
        <w:t>（一）项目绩效目标完成情况分析</w:t>
      </w:r>
    </w:p>
    <w:p>
      <w:pPr>
        <w:spacing w:line="600" w:lineRule="exact"/>
        <w:ind w:firstLine="624" w:firstLineChars="200"/>
        <w:rPr>
          <w:rFonts w:asciiTheme="majorEastAsia" w:hAnsiTheme="majorEastAsia" w:eastAsiaTheme="majorEastAsia" w:cstheme="majorEastAsia"/>
          <w:bCs/>
          <w:spacing w:val="-4"/>
          <w:sz w:val="32"/>
          <w:szCs w:val="32"/>
        </w:rPr>
      </w:pPr>
      <w:r>
        <w:rPr>
          <w:rStyle w:val="18"/>
          <w:rFonts w:hint="eastAsia" w:ascii="仿宋_GB2312" w:hAnsi="仿宋" w:eastAsia="仿宋_GB2312" w:cs="仿宋"/>
          <w:b w:val="0"/>
          <w:spacing w:val="-4"/>
          <w:sz w:val="32"/>
          <w:szCs w:val="32"/>
        </w:rPr>
        <w:t>上级财政拨款资金为49万元，本级安排62.73万元，共计</w:t>
      </w:r>
      <w:r>
        <w:rPr>
          <w:rFonts w:hint="eastAsia" w:ascii="仿宋_GB2312" w:hAnsi="仿宋" w:eastAsia="仿宋_GB2312" w:cs="仿宋"/>
          <w:sz w:val="32"/>
          <w:szCs w:val="32"/>
        </w:rPr>
        <w:t>111.73万元。如期完成发放工作</w:t>
      </w:r>
      <w:r>
        <w:rPr>
          <w:rFonts w:hint="eastAsia" w:ascii="仿宋" w:hAnsi="仿宋" w:eastAsia="仿宋" w:cs="仿宋"/>
          <w:sz w:val="32"/>
          <w:szCs w:val="32"/>
        </w:rPr>
        <w:t>。</w:t>
      </w:r>
    </w:p>
    <w:p>
      <w:pPr>
        <w:spacing w:line="600" w:lineRule="exact"/>
        <w:ind w:firstLine="627" w:firstLineChars="200"/>
        <w:rPr>
          <w:rFonts w:ascii="楷体_GB2312" w:eastAsia="楷体_GB2312" w:hAnsiTheme="majorEastAsia" w:cstheme="majorEastAsia"/>
          <w:b/>
          <w:spacing w:val="-4"/>
          <w:sz w:val="32"/>
          <w:szCs w:val="32"/>
        </w:rPr>
      </w:pPr>
      <w:r>
        <w:rPr>
          <w:rFonts w:hint="eastAsia" w:ascii="楷体_GB2312" w:eastAsia="楷体_GB2312" w:hAnsiTheme="majorEastAsia" w:cstheme="majorEastAsia"/>
          <w:b/>
          <w:spacing w:val="-4"/>
          <w:sz w:val="32"/>
          <w:szCs w:val="32"/>
        </w:rPr>
        <w:t>（二）项目绩效目标未完成原因分析</w:t>
      </w:r>
    </w:p>
    <w:p>
      <w:pPr>
        <w:spacing w:line="600" w:lineRule="exact"/>
        <w:ind w:firstLine="624" w:firstLineChars="200"/>
        <w:rPr>
          <w:rFonts w:ascii="仿宋_GB2312" w:eastAsia="仿宋_GB2312" w:hAnsiTheme="majorEastAsia" w:cstheme="majorEastAsia"/>
          <w:spacing w:val="-4"/>
          <w:sz w:val="32"/>
          <w:szCs w:val="32"/>
        </w:rPr>
      </w:pPr>
      <w:r>
        <w:rPr>
          <w:rFonts w:hint="eastAsia" w:ascii="仿宋_GB2312" w:hAnsi="仿宋" w:eastAsia="仿宋_GB2312" w:cs="仿宋"/>
          <w:spacing w:val="-4"/>
          <w:sz w:val="32"/>
          <w:szCs w:val="32"/>
        </w:rPr>
        <w:t>项目绩效目标已完成。</w:t>
      </w:r>
    </w:p>
    <w:p>
      <w:pPr>
        <w:numPr>
          <w:ilvl w:val="0"/>
          <w:numId w:val="3"/>
        </w:numPr>
        <w:spacing w:line="600" w:lineRule="exact"/>
        <w:ind w:firstLine="627" w:firstLineChars="200"/>
        <w:rPr>
          <w:rStyle w:val="18"/>
          <w:rFonts w:ascii="黑体" w:hAnsi="黑体" w:eastAsia="黑体" w:cstheme="majorEastAsia"/>
          <w:bCs w:val="0"/>
          <w:spacing w:val="-4"/>
          <w:sz w:val="32"/>
          <w:szCs w:val="32"/>
        </w:rPr>
      </w:pPr>
      <w:r>
        <w:rPr>
          <w:rStyle w:val="18"/>
          <w:rFonts w:hint="eastAsia" w:ascii="黑体" w:hAnsi="黑体" w:eastAsia="黑体" w:cstheme="majorEastAsia"/>
          <w:bCs w:val="0"/>
          <w:spacing w:val="-4"/>
          <w:sz w:val="32"/>
          <w:szCs w:val="32"/>
        </w:rPr>
        <w:t>其他需要说明的问题</w:t>
      </w:r>
    </w:p>
    <w:p>
      <w:pPr>
        <w:spacing w:line="600" w:lineRule="exact"/>
        <w:ind w:firstLine="627" w:firstLineChars="200"/>
        <w:rPr>
          <w:rStyle w:val="18"/>
          <w:rFonts w:asciiTheme="majorEastAsia" w:hAnsiTheme="majorEastAsia" w:eastAsiaTheme="majorEastAsia" w:cstheme="majorEastAsia"/>
          <w:bCs w:val="0"/>
          <w:spacing w:val="-4"/>
          <w:sz w:val="32"/>
          <w:szCs w:val="32"/>
        </w:rPr>
      </w:pPr>
      <w:r>
        <w:rPr>
          <w:rStyle w:val="18"/>
          <w:rFonts w:hint="eastAsia" w:ascii="仿宋" w:hAnsi="仿宋" w:eastAsia="仿宋" w:cs="仿宋"/>
          <w:bCs w:val="0"/>
          <w:spacing w:val="-4"/>
          <w:sz w:val="32"/>
          <w:szCs w:val="32"/>
        </w:rPr>
        <w:t xml:space="preserve"> 无。</w:t>
      </w:r>
    </w:p>
    <w:p>
      <w:pPr>
        <w:spacing w:line="600" w:lineRule="exact"/>
        <w:ind w:firstLine="627" w:firstLineChars="200"/>
        <w:rPr>
          <w:rFonts w:ascii="楷体_GB2312" w:eastAsia="楷体_GB2312" w:hAnsiTheme="majorEastAsia" w:cstheme="majorEastAsia"/>
          <w:b/>
          <w:spacing w:val="-4"/>
          <w:sz w:val="32"/>
          <w:szCs w:val="32"/>
        </w:rPr>
      </w:pPr>
      <w:r>
        <w:rPr>
          <w:rFonts w:hint="eastAsia" w:ascii="楷体_GB2312" w:eastAsia="楷体_GB2312" w:hAnsiTheme="majorEastAsia" w:cstheme="majorEastAsia"/>
          <w:b/>
          <w:spacing w:val="-4"/>
          <w:sz w:val="32"/>
          <w:szCs w:val="32"/>
        </w:rPr>
        <w:t>（一）后续工作计划</w:t>
      </w:r>
    </w:p>
    <w:p>
      <w:pPr>
        <w:spacing w:line="600" w:lineRule="exact"/>
        <w:ind w:firstLine="624" w:firstLineChars="200"/>
        <w:rPr>
          <w:rFonts w:ascii="仿宋_GB2312" w:hAnsi="仿宋" w:eastAsia="仿宋_GB2312" w:cs="仿宋"/>
          <w:bCs/>
          <w:spacing w:val="-4"/>
          <w:sz w:val="32"/>
          <w:szCs w:val="32"/>
        </w:rPr>
      </w:pPr>
      <w:r>
        <w:rPr>
          <w:rFonts w:hint="eastAsia" w:ascii="仿宋_GB2312" w:hAnsi="仿宋" w:eastAsia="仿宋_GB2312" w:cs="仿宋"/>
          <w:bCs/>
          <w:spacing w:val="-4"/>
          <w:sz w:val="32"/>
          <w:szCs w:val="32"/>
        </w:rPr>
        <w:t>继续做好高龄津贴发放工作</w:t>
      </w:r>
    </w:p>
    <w:p>
      <w:pPr>
        <w:spacing w:line="600" w:lineRule="exact"/>
        <w:ind w:firstLine="627" w:firstLineChars="200"/>
        <w:rPr>
          <w:rFonts w:ascii="楷体_GB2312" w:eastAsia="楷体_GB2312" w:hAnsiTheme="majorEastAsia" w:cstheme="majorEastAsia"/>
          <w:b/>
          <w:spacing w:val="-4"/>
          <w:sz w:val="32"/>
          <w:szCs w:val="32"/>
        </w:rPr>
      </w:pPr>
      <w:r>
        <w:rPr>
          <w:rFonts w:hint="eastAsia" w:ascii="楷体_GB2312" w:eastAsia="楷体_GB2312" w:hAnsiTheme="majorEastAsia" w:cstheme="majorEastAsia"/>
          <w:b/>
          <w:spacing w:val="-4"/>
          <w:sz w:val="32"/>
          <w:szCs w:val="32"/>
        </w:rPr>
        <w:t>（二）主要经验及做法、存在问题和建议</w:t>
      </w:r>
    </w:p>
    <w:p>
      <w:pPr>
        <w:spacing w:line="600" w:lineRule="exact"/>
        <w:ind w:firstLine="640" w:firstLineChars="200"/>
        <w:rPr>
          <w:rFonts w:ascii="仿宋_GB2312" w:eastAsia="仿宋_GB2312" w:hAnsiTheme="majorEastAsia" w:cstheme="majorEastAsia"/>
          <w:spacing w:val="-4"/>
          <w:sz w:val="32"/>
          <w:szCs w:val="32"/>
        </w:rPr>
      </w:pPr>
      <w:r>
        <w:rPr>
          <w:rFonts w:hint="eastAsia" w:ascii="仿宋_GB2312" w:hAnsi="仿宋" w:eastAsia="仿宋_GB2312" w:cs="仿宋"/>
          <w:sz w:val="32"/>
          <w:szCs w:val="32"/>
        </w:rPr>
        <w:t>资金安排是上级拨款资金及县级配套资金，继续做好专款专用。存在的问题：户口在本地，长期居住在外地，老人年级已高、死亡率高、因此无法及时掌握不了死亡情况存在死亡领取现象.</w:t>
      </w:r>
    </w:p>
    <w:p>
      <w:pPr>
        <w:spacing w:line="600" w:lineRule="exact"/>
        <w:ind w:firstLine="627" w:firstLineChars="200"/>
        <w:rPr>
          <w:rFonts w:asciiTheme="majorEastAsia" w:hAnsiTheme="majorEastAsia" w:eastAsiaTheme="majorEastAsia" w:cstheme="majorEastAsia"/>
          <w:b/>
          <w:spacing w:val="-4"/>
          <w:sz w:val="32"/>
          <w:szCs w:val="32"/>
        </w:rPr>
      </w:pPr>
      <w:r>
        <w:rPr>
          <w:rFonts w:hint="eastAsia" w:asciiTheme="majorEastAsia" w:hAnsiTheme="majorEastAsia" w:eastAsiaTheme="majorEastAsia" w:cstheme="majorEastAsia"/>
          <w:b/>
          <w:spacing w:val="-4"/>
          <w:sz w:val="32"/>
          <w:szCs w:val="32"/>
        </w:rPr>
        <w:t>（</w:t>
      </w:r>
      <w:r>
        <w:rPr>
          <w:rFonts w:hint="eastAsia" w:ascii="楷体_GB2312" w:eastAsia="楷体_GB2312" w:hAnsiTheme="majorEastAsia" w:cstheme="majorEastAsia"/>
          <w:b/>
          <w:spacing w:val="-4"/>
          <w:sz w:val="32"/>
          <w:szCs w:val="32"/>
        </w:rPr>
        <w:t>三）其他</w:t>
      </w:r>
    </w:p>
    <w:p>
      <w:pPr>
        <w:spacing w:line="600" w:lineRule="exact"/>
        <w:ind w:firstLine="624" w:firstLineChars="200"/>
        <w:rPr>
          <w:rFonts w:asciiTheme="majorEastAsia" w:hAnsiTheme="majorEastAsia" w:eastAsiaTheme="majorEastAsia" w:cstheme="majorEastAsia"/>
          <w:b/>
          <w:spacing w:val="-4"/>
          <w:sz w:val="32"/>
          <w:szCs w:val="32"/>
        </w:rPr>
      </w:pPr>
      <w:r>
        <w:rPr>
          <w:rFonts w:hint="eastAsia" w:ascii="仿宋" w:hAnsi="仿宋" w:eastAsia="仿宋" w:cs="仿宋"/>
          <w:bCs/>
          <w:spacing w:val="-4"/>
          <w:sz w:val="32"/>
          <w:szCs w:val="32"/>
        </w:rPr>
        <w:t>无</w:t>
      </w:r>
    </w:p>
    <w:p>
      <w:pPr>
        <w:spacing w:line="600" w:lineRule="exact"/>
        <w:ind w:firstLine="627" w:firstLineChars="200"/>
        <w:rPr>
          <w:rStyle w:val="18"/>
          <w:rFonts w:ascii="黑体" w:hAnsi="黑体" w:eastAsia="黑体" w:cstheme="majorEastAsia"/>
          <w:b w:val="0"/>
          <w:spacing w:val="-4"/>
          <w:sz w:val="32"/>
          <w:szCs w:val="32"/>
        </w:rPr>
      </w:pPr>
      <w:r>
        <w:rPr>
          <w:rStyle w:val="18"/>
          <w:rFonts w:hint="eastAsia" w:ascii="黑体" w:hAnsi="黑体" w:eastAsia="黑体" w:cstheme="majorEastAsia"/>
          <w:bCs w:val="0"/>
          <w:spacing w:val="-4"/>
          <w:sz w:val="32"/>
          <w:szCs w:val="32"/>
        </w:rPr>
        <w:t>六、项目评价工作情况</w:t>
      </w:r>
    </w:p>
    <w:p>
      <w:pPr>
        <w:spacing w:line="600" w:lineRule="exac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评价基层数据齐全，资料来源和依据等材料齐全 。</w:t>
      </w:r>
    </w:p>
    <w:p>
      <w:pPr>
        <w:spacing w:line="600" w:lineRule="exact"/>
        <w:ind w:firstLine="627" w:firstLineChars="200"/>
        <w:rPr>
          <w:rStyle w:val="18"/>
          <w:rFonts w:ascii="黑体" w:hAnsi="黑体" w:eastAsia="黑体" w:cstheme="majorEastAsia"/>
          <w:bCs w:val="0"/>
          <w:spacing w:val="-4"/>
          <w:sz w:val="32"/>
          <w:szCs w:val="32"/>
        </w:rPr>
      </w:pPr>
      <w:r>
        <w:rPr>
          <w:rStyle w:val="18"/>
          <w:rFonts w:hint="eastAsia" w:ascii="黑体" w:hAnsi="黑体" w:eastAsia="黑体" w:cstheme="majorEastAsia"/>
          <w:bCs w:val="0"/>
          <w:spacing w:val="-4"/>
          <w:sz w:val="32"/>
          <w:szCs w:val="32"/>
        </w:rPr>
        <w:t>七、附表</w:t>
      </w:r>
    </w:p>
    <w:p>
      <w:pPr>
        <w:spacing w:line="600" w:lineRule="exact"/>
        <w:ind w:firstLine="624" w:firstLineChars="200"/>
        <w:rPr>
          <w:rStyle w:val="18"/>
          <w:rFonts w:ascii="仿宋_GB2312" w:eastAsia="仿宋_GB2312" w:hAnsiTheme="majorEastAsia" w:cstheme="majorEastAsia"/>
          <w:b w:val="0"/>
          <w:spacing w:val="-4"/>
          <w:sz w:val="32"/>
          <w:szCs w:val="32"/>
        </w:rPr>
      </w:pPr>
      <w:r>
        <w:rPr>
          <w:rStyle w:val="18"/>
          <w:rFonts w:hint="eastAsia" w:ascii="仿宋_GB2312" w:hAnsi="仿宋" w:eastAsia="仿宋_GB2312" w:cs="仿宋"/>
          <w:b w:val="0"/>
          <w:spacing w:val="-4"/>
          <w:sz w:val="32"/>
          <w:szCs w:val="32"/>
        </w:rPr>
        <w:t>《和静县民政局财政项目支出绩效自评表》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2575DD"/>
    <w:multiLevelType w:val="singleLevel"/>
    <w:tmpl w:val="CA2575DD"/>
    <w:lvl w:ilvl="0" w:tentative="0">
      <w:start w:val="3"/>
      <w:numFmt w:val="chineseCounting"/>
      <w:suff w:val="nothing"/>
      <w:lvlText w:val="（%1）"/>
      <w:lvlJc w:val="left"/>
      <w:rPr>
        <w:rFonts w:hint="eastAsia"/>
      </w:rPr>
    </w:lvl>
  </w:abstractNum>
  <w:abstractNum w:abstractNumId="1">
    <w:nsid w:val="5AD471B1"/>
    <w:multiLevelType w:val="singleLevel"/>
    <w:tmpl w:val="5AD471B1"/>
    <w:lvl w:ilvl="0" w:tentative="0">
      <w:start w:val="5"/>
      <w:numFmt w:val="chineseCounting"/>
      <w:suff w:val="nothing"/>
      <w:lvlText w:val="%1、"/>
      <w:lvlJc w:val="left"/>
      <w:rPr>
        <w:rFonts w:hint="eastAsia"/>
      </w:rPr>
    </w:lvl>
  </w:abstractNum>
  <w:abstractNum w:abstractNumId="2">
    <w:nsid w:val="6770ED46"/>
    <w:multiLevelType w:val="singleLevel"/>
    <w:tmpl w:val="6770ED4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5FDA"/>
    <w:rsid w:val="00030634"/>
    <w:rsid w:val="00056465"/>
    <w:rsid w:val="00121AE4"/>
    <w:rsid w:val="00134F7B"/>
    <w:rsid w:val="00146AAD"/>
    <w:rsid w:val="001B3A40"/>
    <w:rsid w:val="002574E5"/>
    <w:rsid w:val="00280791"/>
    <w:rsid w:val="002815E5"/>
    <w:rsid w:val="00290B97"/>
    <w:rsid w:val="002C0104"/>
    <w:rsid w:val="002E590A"/>
    <w:rsid w:val="00376E3D"/>
    <w:rsid w:val="003908B7"/>
    <w:rsid w:val="003B2538"/>
    <w:rsid w:val="004366A8"/>
    <w:rsid w:val="00445D85"/>
    <w:rsid w:val="004B4244"/>
    <w:rsid w:val="00502BA7"/>
    <w:rsid w:val="005162F1"/>
    <w:rsid w:val="00535153"/>
    <w:rsid w:val="00536F83"/>
    <w:rsid w:val="00554F82"/>
    <w:rsid w:val="00557407"/>
    <w:rsid w:val="0056390D"/>
    <w:rsid w:val="005719B0"/>
    <w:rsid w:val="005D10D6"/>
    <w:rsid w:val="00643BA6"/>
    <w:rsid w:val="0069633C"/>
    <w:rsid w:val="006E6BB4"/>
    <w:rsid w:val="00743B81"/>
    <w:rsid w:val="00791A52"/>
    <w:rsid w:val="00855E3A"/>
    <w:rsid w:val="008775C6"/>
    <w:rsid w:val="00922CB9"/>
    <w:rsid w:val="0092573B"/>
    <w:rsid w:val="0093068C"/>
    <w:rsid w:val="009564B6"/>
    <w:rsid w:val="009732F5"/>
    <w:rsid w:val="009C21DB"/>
    <w:rsid w:val="009E5CD9"/>
    <w:rsid w:val="009F2FA2"/>
    <w:rsid w:val="00A07A0E"/>
    <w:rsid w:val="00A26421"/>
    <w:rsid w:val="00A4293B"/>
    <w:rsid w:val="00A45767"/>
    <w:rsid w:val="00A67D50"/>
    <w:rsid w:val="00A8691A"/>
    <w:rsid w:val="00AA4470"/>
    <w:rsid w:val="00AC0BCB"/>
    <w:rsid w:val="00AC1946"/>
    <w:rsid w:val="00B40063"/>
    <w:rsid w:val="00B41F61"/>
    <w:rsid w:val="00B474E3"/>
    <w:rsid w:val="00B9500F"/>
    <w:rsid w:val="00BA46E6"/>
    <w:rsid w:val="00C55FA8"/>
    <w:rsid w:val="00C56C72"/>
    <w:rsid w:val="00CA6457"/>
    <w:rsid w:val="00CC2E6F"/>
    <w:rsid w:val="00D16AF4"/>
    <w:rsid w:val="00D17F2E"/>
    <w:rsid w:val="00D30354"/>
    <w:rsid w:val="00D9115D"/>
    <w:rsid w:val="00D926BD"/>
    <w:rsid w:val="00DF42A0"/>
    <w:rsid w:val="00E00D00"/>
    <w:rsid w:val="00E769FE"/>
    <w:rsid w:val="00EA2CBE"/>
    <w:rsid w:val="00F1020C"/>
    <w:rsid w:val="00F32FEE"/>
    <w:rsid w:val="00FB10BB"/>
    <w:rsid w:val="01694672"/>
    <w:rsid w:val="03F33137"/>
    <w:rsid w:val="07CA6D0D"/>
    <w:rsid w:val="135A2151"/>
    <w:rsid w:val="15B76C1B"/>
    <w:rsid w:val="168F1A6C"/>
    <w:rsid w:val="186A4B75"/>
    <w:rsid w:val="19E16F9A"/>
    <w:rsid w:val="29D261FA"/>
    <w:rsid w:val="2AE935C9"/>
    <w:rsid w:val="2FF4141B"/>
    <w:rsid w:val="30596452"/>
    <w:rsid w:val="33FA3A31"/>
    <w:rsid w:val="36C31F2E"/>
    <w:rsid w:val="37067E40"/>
    <w:rsid w:val="3C4379FA"/>
    <w:rsid w:val="3CC754B1"/>
    <w:rsid w:val="4282099F"/>
    <w:rsid w:val="46F94711"/>
    <w:rsid w:val="4B0E539F"/>
    <w:rsid w:val="4BC705C0"/>
    <w:rsid w:val="4D3B78E8"/>
    <w:rsid w:val="519445F2"/>
    <w:rsid w:val="52864DEB"/>
    <w:rsid w:val="57D77886"/>
    <w:rsid w:val="593104D5"/>
    <w:rsid w:val="5EC96DC8"/>
    <w:rsid w:val="5EE3177C"/>
    <w:rsid w:val="67F97742"/>
    <w:rsid w:val="6C1A33C9"/>
    <w:rsid w:val="6CE75E18"/>
    <w:rsid w:val="756678FB"/>
    <w:rsid w:val="79B6459C"/>
    <w:rsid w:val="79BE1876"/>
    <w:rsid w:val="7B8959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362</Words>
  <Characters>2068</Characters>
  <Lines>17</Lines>
  <Paragraphs>4</Paragraphs>
  <TotalTime>6</TotalTime>
  <ScaleCrop>false</ScaleCrop>
  <LinksUpToDate>false</LinksUpToDate>
  <CharactersWithSpaces>2426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2021-06-02T12:47:00Z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