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1044" w:firstLineChars="200"/>
        <w:jc w:val="center"/>
        <w:rPr>
          <w:rFonts w:ascii="仿宋_GB2312" w:hAnsi="华文中宋" w:eastAsia="仿宋_GB2312" w:cs="宋体"/>
          <w:b/>
          <w:kern w:val="0"/>
          <w:sz w:val="52"/>
          <w:szCs w:val="52"/>
        </w:rPr>
      </w:pPr>
    </w:p>
    <w:p>
      <w:pPr>
        <w:spacing w:line="600" w:lineRule="exact"/>
        <w:ind w:firstLine="1044" w:firstLineChars="200"/>
        <w:jc w:val="center"/>
        <w:rPr>
          <w:rFonts w:ascii="仿宋_GB2312" w:hAnsi="华文中宋" w:eastAsia="仿宋_GB2312" w:cs="宋体"/>
          <w:b/>
          <w:kern w:val="0"/>
          <w:sz w:val="52"/>
          <w:szCs w:val="52"/>
        </w:rPr>
      </w:pPr>
    </w:p>
    <w:p>
      <w:pPr>
        <w:spacing w:line="600" w:lineRule="exact"/>
        <w:ind w:firstLine="1044" w:firstLineChars="200"/>
        <w:jc w:val="center"/>
        <w:rPr>
          <w:rFonts w:ascii="仿宋_GB2312" w:hAnsi="华文中宋" w:eastAsia="仿宋_GB2312" w:cs="宋体"/>
          <w:b/>
          <w:kern w:val="0"/>
          <w:sz w:val="52"/>
          <w:szCs w:val="52"/>
        </w:rPr>
      </w:pPr>
    </w:p>
    <w:p>
      <w:pPr>
        <w:spacing w:line="600" w:lineRule="exact"/>
        <w:ind w:firstLine="1044" w:firstLineChars="200"/>
        <w:jc w:val="center"/>
        <w:rPr>
          <w:rFonts w:ascii="仿宋_GB2312" w:hAnsi="华文中宋" w:eastAsia="仿宋_GB2312" w:cs="宋体"/>
          <w:b/>
          <w:kern w:val="0"/>
          <w:sz w:val="52"/>
          <w:szCs w:val="52"/>
        </w:rPr>
      </w:pPr>
    </w:p>
    <w:p>
      <w:pPr>
        <w:spacing w:line="600" w:lineRule="exact"/>
        <w:ind w:firstLine="1044" w:firstLineChars="200"/>
        <w:jc w:val="center"/>
        <w:rPr>
          <w:rFonts w:ascii="仿宋_GB2312" w:hAnsi="华文中宋" w:eastAsia="仿宋_GB2312" w:cs="宋体"/>
          <w:b/>
          <w:kern w:val="0"/>
          <w:sz w:val="52"/>
          <w:szCs w:val="52"/>
        </w:rPr>
      </w:pPr>
    </w:p>
    <w:p>
      <w:pPr>
        <w:spacing w:line="600" w:lineRule="exact"/>
        <w:ind w:firstLine="200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新疆巴州和静县教育和科学技术局</w:t>
      </w:r>
    </w:p>
    <w:p>
      <w:pPr>
        <w:spacing w:line="600" w:lineRule="exact"/>
        <w:ind w:firstLine="200"/>
        <w:jc w:val="center"/>
        <w:rPr>
          <w:rFonts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项目支出绩效自评报告</w:t>
      </w:r>
    </w:p>
    <w:p>
      <w:pPr>
        <w:spacing w:line="600" w:lineRule="exact"/>
        <w:ind w:firstLine="964" w:firstLineChars="200"/>
        <w:jc w:val="center"/>
        <w:rPr>
          <w:rFonts w:ascii="仿宋_GB2312" w:hAnsi="华文中宋" w:eastAsia="仿宋_GB2312" w:cs="宋体"/>
          <w:b/>
          <w:kern w:val="0"/>
          <w:sz w:val="48"/>
          <w:szCs w:val="48"/>
        </w:rPr>
      </w:pPr>
    </w:p>
    <w:p>
      <w:pPr>
        <w:spacing w:line="600" w:lineRule="exact"/>
        <w:ind w:firstLine="640" w:firstLineChars="200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（2018年度）</w:t>
      </w:r>
    </w:p>
    <w:p>
      <w:pPr>
        <w:spacing w:line="600" w:lineRule="exact"/>
        <w:ind w:firstLine="640" w:firstLineChars="200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  <w:bookmarkStart w:id="0" w:name="_GoBack"/>
      <w:bookmarkEnd w:id="0"/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项目名称：日晒番茄干、脱水番茄粒专利实施及产业化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实施单位（公章）：新疆万选千挑农产有限公司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主管部门（公章）：巴州知识产权局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项目负责人（签章）：万斌</w:t>
      </w:r>
    </w:p>
    <w:p>
      <w:pPr>
        <w:spacing w:line="600" w:lineRule="exact"/>
        <w:ind w:firstLine="640" w:firstLineChars="200"/>
        <w:jc w:val="left"/>
        <w:rPr>
          <w:rStyle w:val="20"/>
          <w:rFonts w:ascii="仿宋_GB2312" w:hAnsi="宋体" w:eastAsia="仿宋_GB2312" w:cs="宋体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填报时间：2019年1月14日</w:t>
      </w:r>
    </w:p>
    <w:p>
      <w:pPr>
        <w:spacing w:line="600" w:lineRule="exact"/>
        <w:ind w:firstLine="624" w:firstLineChars="20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600" w:lineRule="exact"/>
        <w:ind w:firstLine="627" w:firstLineChars="200"/>
        <w:rPr>
          <w:rStyle w:val="20"/>
          <w:rFonts w:ascii="楷体_GB2312" w:hAnsi="楷体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hAnsi="楷体" w:eastAsia="楷体_GB2312"/>
          <w:spacing w:val="-4"/>
          <w:sz w:val="32"/>
          <w:szCs w:val="32"/>
        </w:rPr>
        <w:t>（一）项目单位基本情况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注册时间：2008年4月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注册资本：500万元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经济类型：私营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单位组织结构：公司分别设置有总经办、国际贸易部、报关报检部、生产部、财务部、质检品管部、综合管理部等，公司组织结构合理，管理有序。高层领导具有很强的组织管理能力。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员工情况：公司现有职工210人（长期员工26人，季节性员工184人），其中本科学历6人、专科学历4人、高级食品检验2人、技术人员4人、生产人员195人。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经营情况：公司决策层和执行层的高级管理人员已形成开拓、创新互补的干事业格局。产品连续9年出口到巴西、新西兰、澳大利亚、阿根廷、美国、希腊、菲律宾、马来西亚等国。经营状况良好，属于朝阳企业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cr/>
      </w:r>
      <w:r>
        <w:rPr>
          <w:rFonts w:hint="eastAsia" w:ascii="仿宋_GB2312" w:hAnsi="宋体" w:eastAsia="仿宋_GB2312"/>
          <w:vanish/>
          <w:sz w:val="32"/>
          <w:szCs w:val="32"/>
        </w:rPr>
        <w:t>牌O9001R</w:t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vanish/>
          <w:sz w:val="32"/>
          <w:szCs w:val="32"/>
        </w:rPr>
        <w:pgNum/>
      </w:r>
      <w:r>
        <w:rPr>
          <w:rFonts w:hint="eastAsia" w:ascii="仿宋_GB2312" w:hAnsi="宋体" w:eastAsia="仿宋_GB2312"/>
          <w:sz w:val="32"/>
          <w:szCs w:val="32"/>
        </w:rPr>
        <w:t>历史沿革：新疆万选千挑农产有限公司于2008年4月在库尔勒工商局注册成立，2010年4月在和静县工商局变更注册登记，注册资本500万元。公司主要从事天然日晒干制番茄干、辣椒干，热风干燥辣椒粒、番茄粒等及其衍生产品的生产和销售。公司自成立以来，认真贯彻党和国家的方针政策及发展战略，在日晒番茄干产业中, 我公司是中国最早进入这一领域的, 也是最早出口，产量最大, 品质最优的生产企业。随着生产工艺的不断改进和完善，我们已然成为国内生产脱水蔬菜的领军企业，并立志成为世界一流企业，为世界提供一流产品！连续9年的番茄干出口经验，让我们的产品获得了国内外客户的广泛认可! 也正是因为我们的努力和坚持，带动了中国番茄干这一新兴产业、绿色产业、朝阳产业的蓬勃发展！</w:t>
      </w:r>
    </w:p>
    <w:p>
      <w:pPr>
        <w:spacing w:line="600" w:lineRule="exact"/>
        <w:ind w:firstLine="640" w:firstLineChars="200"/>
        <w:rPr>
          <w:rStyle w:val="20"/>
          <w:rFonts w:ascii="仿宋_GB2312" w:hAnsi="宋体" w:eastAsia="仿宋_GB2312"/>
          <w:b w:val="0"/>
          <w:bCs w:val="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企业文化：我们的宗旨是做生意先做人，做好人再做生意！不断提高产品的质量和服务，是我们永恒的追求！</w:t>
      </w:r>
    </w:p>
    <w:p>
      <w:pPr>
        <w:spacing w:line="600" w:lineRule="exact"/>
        <w:ind w:firstLine="627" w:firstLineChars="200"/>
        <w:rPr>
          <w:rStyle w:val="20"/>
          <w:rFonts w:ascii="楷体_GB2312" w:hAnsi="楷体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hAnsi="楷体" w:eastAsia="楷体_GB2312"/>
          <w:spacing w:val="-4"/>
          <w:sz w:val="32"/>
          <w:szCs w:val="32"/>
        </w:rPr>
        <w:t>（二）项目预算绩效目标设定情况</w:t>
      </w:r>
    </w:p>
    <w:p>
      <w:pPr>
        <w:spacing w:line="600" w:lineRule="exact"/>
        <w:ind w:firstLine="624" w:firstLineChars="200"/>
        <w:rPr>
          <w:rStyle w:val="20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20"/>
          <w:rFonts w:hint="eastAsia" w:ascii="仿宋_GB2312" w:hAnsi="仿宋" w:eastAsia="仿宋_GB2312"/>
          <w:b w:val="0"/>
          <w:spacing w:val="-4"/>
          <w:sz w:val="32"/>
          <w:szCs w:val="32"/>
        </w:rPr>
        <w:t>（包括预期目标及阶段性目标；项目基本性质、用途和主要内容、涉及范围）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Arial"/>
          <w:sz w:val="32"/>
          <w:szCs w:val="32"/>
        </w:rPr>
        <w:t>首先番茄作为巴州地区红色支柱产业，和静已经把番茄为主的农产品作为农业产业结构调整的突破口，把番茄产业作为农民增收的最具潜力的产业进行扶持，以加快发展。而众所周知新鲜蔬菜在运输和卸车过程中极易损伤，若不及时组织生产加工，蔬菜很快就会失去水分甚至发生霉变，危及产品质量，造成农民亏损，最终使企业蒙受损失。针对上述问题，企业应采取一定措施收购原料，对其进行生产加工，全程质量控制，对脱水番茄制品专利技术全面优化，建立一套控制产品品质的脱水番茄工艺。本项目实施后可提高脱水蔬菜产量、质量水平和经济效益，对当地产业结构的调整和实施“再就业工程”有积极的推动作用，有利于繁荣城镇经济、增加农工和企业的收入，社会效益显著。</w:t>
      </w:r>
      <w:r>
        <w:rPr>
          <w:rFonts w:hint="eastAsia" w:ascii="仿宋_GB2312" w:hAnsi="宋体" w:eastAsia="仿宋_GB2312"/>
          <w:sz w:val="32"/>
          <w:szCs w:val="32"/>
        </w:rPr>
        <w:t>本项目实施对行业技术进步有着重要意义和作用，符合产业发展政策。</w:t>
      </w:r>
    </w:p>
    <w:p>
      <w:pPr>
        <w:spacing w:line="600" w:lineRule="exact"/>
        <w:ind w:firstLine="640" w:firstLineChars="200"/>
        <w:rPr>
          <w:rStyle w:val="48"/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Arial"/>
          <w:sz w:val="32"/>
          <w:szCs w:val="32"/>
        </w:rPr>
        <w:t>本项目实施计划：</w:t>
      </w:r>
      <w:r>
        <w:rPr>
          <w:rStyle w:val="48"/>
          <w:rFonts w:hint="eastAsia" w:ascii="仿宋_GB2312" w:hAnsi="宋体" w:eastAsia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Style w:val="48"/>
          <w:rFonts w:ascii="仿宋_GB2312" w:hAnsi="宋体" w:eastAsia="仿宋_GB2312"/>
          <w:sz w:val="32"/>
          <w:szCs w:val="32"/>
        </w:rPr>
      </w:pPr>
      <w:r>
        <w:rPr>
          <w:rStyle w:val="48"/>
          <w:rFonts w:hint="eastAsia" w:ascii="仿宋_GB2312" w:hAnsi="宋体" w:eastAsia="仿宋_GB2312"/>
          <w:sz w:val="32"/>
          <w:szCs w:val="32"/>
        </w:rPr>
        <w:t>项目起止年限2014年10月9日-2015年12月1日。</w:t>
      </w:r>
    </w:p>
    <w:p>
      <w:pPr>
        <w:spacing w:line="600" w:lineRule="exact"/>
        <w:ind w:firstLine="640" w:firstLineChars="200"/>
        <w:rPr>
          <w:rStyle w:val="48"/>
          <w:rFonts w:ascii="仿宋_GB2312" w:hAnsi="宋体" w:eastAsia="仿宋_GB2312"/>
          <w:sz w:val="32"/>
          <w:szCs w:val="32"/>
        </w:rPr>
      </w:pPr>
      <w:r>
        <w:rPr>
          <w:rStyle w:val="48"/>
          <w:rFonts w:hint="eastAsia" w:ascii="仿宋_GB2312" w:hAnsi="宋体" w:eastAsia="仿宋_GB2312"/>
          <w:sz w:val="32"/>
          <w:szCs w:val="32"/>
        </w:rPr>
        <w:t>2014年10月9日-2015年2月9日，成立项目组，制定项目实施方案，开展对脱水番茄制品生产线前处理除杂专利技术优化及工艺改进。</w:t>
      </w:r>
    </w:p>
    <w:p>
      <w:pPr>
        <w:spacing w:line="600" w:lineRule="exact"/>
        <w:ind w:firstLine="640" w:firstLineChars="200"/>
        <w:rPr>
          <w:rStyle w:val="48"/>
          <w:rFonts w:ascii="仿宋_GB2312" w:hAnsi="宋体" w:eastAsia="仿宋_GB2312"/>
          <w:sz w:val="32"/>
          <w:szCs w:val="32"/>
        </w:rPr>
      </w:pPr>
      <w:r>
        <w:rPr>
          <w:rStyle w:val="48"/>
          <w:rFonts w:hint="eastAsia" w:ascii="仿宋_GB2312" w:hAnsi="宋体" w:eastAsia="仿宋_GB2312"/>
          <w:sz w:val="32"/>
          <w:szCs w:val="32"/>
        </w:rPr>
        <w:t>2015年2月9日-6月30日，设备的改进、安装到位，对年产900吨脱水番茄制品生产线前处理除杂初步改造完成。</w:t>
      </w:r>
    </w:p>
    <w:p>
      <w:pPr>
        <w:spacing w:line="600" w:lineRule="exact"/>
        <w:ind w:firstLine="640" w:firstLineChars="200"/>
        <w:rPr>
          <w:rStyle w:val="48"/>
          <w:rFonts w:ascii="仿宋_GB2312" w:hAnsi="宋体" w:eastAsia="仿宋_GB2312"/>
          <w:sz w:val="32"/>
          <w:szCs w:val="32"/>
        </w:rPr>
      </w:pPr>
      <w:r>
        <w:rPr>
          <w:rStyle w:val="48"/>
          <w:rFonts w:hint="eastAsia" w:ascii="仿宋_GB2312" w:hAnsi="宋体" w:eastAsia="仿宋_GB2312"/>
          <w:sz w:val="32"/>
          <w:szCs w:val="32"/>
        </w:rPr>
        <w:t>2015年7月1日-2015年10月31日，完成年产900吨脱水番茄制品生产线建设并进行小批量生产；运用新工艺、新技术生产出脱水番茄制品检测各项技术指标完全达到出口标准。</w:t>
      </w:r>
    </w:p>
    <w:p>
      <w:pPr>
        <w:spacing w:line="600" w:lineRule="exact"/>
        <w:ind w:firstLine="640" w:firstLineChars="200"/>
        <w:rPr>
          <w:rStyle w:val="20"/>
          <w:rFonts w:ascii="仿宋_GB2312" w:hAnsi="宋体" w:eastAsia="仿宋_GB2312"/>
          <w:b w:val="0"/>
          <w:bCs w:val="0"/>
          <w:sz w:val="32"/>
          <w:szCs w:val="32"/>
        </w:rPr>
      </w:pPr>
      <w:r>
        <w:rPr>
          <w:rStyle w:val="48"/>
          <w:rFonts w:hint="eastAsia" w:ascii="仿宋_GB2312" w:hAnsi="宋体" w:eastAsia="仿宋_GB2312"/>
          <w:sz w:val="32"/>
          <w:szCs w:val="32"/>
        </w:rPr>
        <w:t>2015年11月1日-12月31日，完成本单位知识产权管理人员培训，对已建立的知识产权管理制度进一步完善；撰写项目结题报告，申请项目验收。</w:t>
      </w:r>
    </w:p>
    <w:p>
      <w:pPr>
        <w:spacing w:line="600" w:lineRule="exact"/>
        <w:ind w:firstLine="624" w:firstLineChars="20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600" w:lineRule="exact"/>
        <w:ind w:firstLine="627" w:firstLineChars="200"/>
        <w:rPr>
          <w:rStyle w:val="20"/>
          <w:rFonts w:ascii="楷体_GB2312" w:hAnsi="楷体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hAnsi="楷体" w:eastAsia="楷体_GB2312"/>
          <w:spacing w:val="-4"/>
          <w:sz w:val="32"/>
          <w:szCs w:val="32"/>
        </w:rPr>
        <w:t>（一）项目资金安排落实、总投入等情况分析</w:t>
      </w:r>
    </w:p>
    <w:p>
      <w:pPr>
        <w:spacing w:line="600" w:lineRule="exact"/>
        <w:ind w:firstLine="640" w:firstLineChars="200"/>
        <w:rPr>
          <w:rStyle w:val="48"/>
          <w:rFonts w:ascii="仿宋_GB2312" w:eastAsia="仿宋_GB2312"/>
          <w:sz w:val="32"/>
          <w:szCs w:val="32"/>
        </w:rPr>
      </w:pPr>
      <w:r>
        <w:rPr>
          <w:rStyle w:val="48"/>
          <w:rFonts w:hint="eastAsia" w:ascii="仿宋_GB2312" w:eastAsia="仿宋_GB2312"/>
          <w:sz w:val="32"/>
          <w:szCs w:val="32"/>
        </w:rPr>
        <w:t>项目计划投资150万元，其中企业自筹115万元，获得专利实施计划资助资金35万元。其中2016年6月获得25万元，2017年12月获得5万元，2018年获得5万元。</w:t>
      </w:r>
    </w:p>
    <w:p>
      <w:pPr>
        <w:spacing w:line="600" w:lineRule="exact"/>
        <w:ind w:firstLine="627" w:firstLineChars="200"/>
        <w:rPr>
          <w:rStyle w:val="20"/>
          <w:rFonts w:ascii="楷体_GB2312" w:hAnsi="楷体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hAnsi="楷体" w:eastAsia="楷体_GB2312"/>
          <w:spacing w:val="-4"/>
          <w:sz w:val="32"/>
          <w:szCs w:val="32"/>
        </w:rPr>
        <w:t>（二）项目资金实际使用情况分析</w:t>
      </w:r>
    </w:p>
    <w:tbl>
      <w:tblPr>
        <w:tblStyle w:val="18"/>
        <w:tblW w:w="8581" w:type="dxa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2126"/>
        <w:gridCol w:w="1559"/>
        <w:gridCol w:w="1607"/>
        <w:gridCol w:w="14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804" w:type="dxa"/>
            <w:vAlign w:val="center"/>
          </w:tcPr>
          <w:p>
            <w:pPr>
              <w:spacing w:line="600" w:lineRule="exact"/>
              <w:ind w:firstLine="643" w:firstLineChars="200"/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序号</w:t>
            </w:r>
          </w:p>
        </w:tc>
        <w:tc>
          <w:tcPr>
            <w:tcW w:w="2126" w:type="dxa"/>
            <w:vAlign w:val="center"/>
          </w:tcPr>
          <w:p>
            <w:pPr>
              <w:spacing w:line="600" w:lineRule="exact"/>
              <w:ind w:firstLine="643" w:firstLineChars="200"/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项  目</w:t>
            </w:r>
          </w:p>
        </w:tc>
        <w:tc>
          <w:tcPr>
            <w:tcW w:w="1559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2"/>
                <w:szCs w:val="32"/>
              </w:rPr>
              <w:t>预算金额</w:t>
            </w:r>
          </w:p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（万元）</w:t>
            </w:r>
          </w:p>
        </w:tc>
        <w:tc>
          <w:tcPr>
            <w:tcW w:w="1607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2"/>
                <w:szCs w:val="32"/>
              </w:rPr>
              <w:t>实际支出</w:t>
            </w:r>
          </w:p>
          <w:p>
            <w:pPr>
              <w:spacing w:line="600" w:lineRule="exact"/>
              <w:ind w:firstLine="200"/>
              <w:rPr>
                <w:rFonts w:ascii="仿宋_GB2312" w:hAnsi="宋体" w:eastAsia="仿宋_GB2312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（万元）</w:t>
            </w:r>
          </w:p>
        </w:tc>
        <w:tc>
          <w:tcPr>
            <w:tcW w:w="1485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变动比例</w:t>
            </w:r>
          </w:p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（%）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1804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专利信息分析、研发费用、试验材料费</w:t>
            </w:r>
          </w:p>
        </w:tc>
        <w:tc>
          <w:tcPr>
            <w:tcW w:w="1559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10</w:t>
            </w:r>
          </w:p>
        </w:tc>
        <w:tc>
          <w:tcPr>
            <w:tcW w:w="1607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10.1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4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专家技术服务费、专利检索费、查新报告费</w:t>
            </w:r>
          </w:p>
        </w:tc>
        <w:tc>
          <w:tcPr>
            <w:tcW w:w="1559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9</w:t>
            </w:r>
          </w:p>
        </w:tc>
        <w:tc>
          <w:tcPr>
            <w:tcW w:w="1607" w:type="dxa"/>
          </w:tcPr>
          <w:p>
            <w:pPr>
              <w:spacing w:line="600" w:lineRule="exact"/>
              <w:ind w:firstLine="640" w:firstLineChars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9.5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5.6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4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知识产权培训、企业贯标、项目调研费</w:t>
            </w:r>
          </w:p>
        </w:tc>
        <w:tc>
          <w:tcPr>
            <w:tcW w:w="1559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12</w:t>
            </w:r>
          </w:p>
        </w:tc>
        <w:tc>
          <w:tcPr>
            <w:tcW w:w="1607" w:type="dxa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12.26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4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申请费、委托专利机构代理费、专利年费</w:t>
            </w:r>
          </w:p>
        </w:tc>
        <w:tc>
          <w:tcPr>
            <w:tcW w:w="1559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4</w:t>
            </w:r>
          </w:p>
        </w:tc>
        <w:tc>
          <w:tcPr>
            <w:tcW w:w="1607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4.2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0" w:type="dxa"/>
            <w:gridSpan w:val="2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合计</w:t>
            </w:r>
          </w:p>
        </w:tc>
        <w:tc>
          <w:tcPr>
            <w:tcW w:w="1559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35</w:t>
            </w:r>
          </w:p>
        </w:tc>
        <w:tc>
          <w:tcPr>
            <w:tcW w:w="1607" w:type="dxa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36.14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3.26</w:t>
            </w:r>
          </w:p>
        </w:tc>
      </w:tr>
    </w:tbl>
    <w:p>
      <w:pPr>
        <w:spacing w:line="600" w:lineRule="exact"/>
        <w:ind w:firstLine="627" w:firstLineChars="200"/>
        <w:rPr>
          <w:rStyle w:val="20"/>
          <w:rFonts w:ascii="楷体_GB2312" w:hAnsi="楷体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hAnsi="楷体" w:eastAsia="楷体_GB2312"/>
          <w:spacing w:val="-4"/>
          <w:sz w:val="32"/>
          <w:szCs w:val="32"/>
        </w:rPr>
        <w:t>（三）项目资金管理情况分析</w:t>
      </w:r>
    </w:p>
    <w:p>
      <w:pPr>
        <w:spacing w:line="600" w:lineRule="exact"/>
        <w:ind w:firstLine="560" w:firstLineChars="200"/>
        <w:rPr>
          <w:rFonts w:ascii="仿宋_GB2312" w:hAnsi="宋体" w:eastAsia="仿宋_GB2312" w:cs="Arial"/>
          <w:sz w:val="28"/>
        </w:rPr>
      </w:pPr>
      <w:r>
        <w:rPr>
          <w:rFonts w:hint="eastAsia" w:ascii="仿宋_GB2312" w:hAnsi="宋体" w:eastAsia="仿宋_GB2312" w:cs="Arial"/>
          <w:bCs/>
          <w:sz w:val="28"/>
        </w:rPr>
        <w:t>我公司</w:t>
      </w:r>
      <w:r>
        <w:rPr>
          <w:rFonts w:hint="eastAsia" w:ascii="仿宋_GB2312" w:hAnsi="宋体" w:eastAsia="仿宋_GB2312" w:cs="Arial"/>
          <w:sz w:val="28"/>
        </w:rPr>
        <w:t>按照《新疆维吾尔自治区专利实施资助资金管理办法》的有关规定使用专利实施资金，保证经费的专款专用，并接受甲方对项目进度及经费使用情况的监督和检查。</w:t>
      </w:r>
      <w:r>
        <w:rPr>
          <w:rFonts w:hint="eastAsia" w:ascii="仿宋_GB2312" w:eastAsia="仿宋_GB2312"/>
          <w:sz w:val="28"/>
        </w:rPr>
        <w:t>所有用途均按照项目申报内容使用，且会计核算制度健全。</w:t>
      </w:r>
    </w:p>
    <w:p>
      <w:pPr>
        <w:spacing w:line="600" w:lineRule="exact"/>
        <w:ind w:firstLine="624" w:firstLineChars="20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600" w:lineRule="exact"/>
        <w:ind w:firstLine="627" w:firstLineChars="200"/>
        <w:rPr>
          <w:rStyle w:val="20"/>
          <w:rFonts w:ascii="楷体_GB2312" w:hAnsi="楷体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hAnsi="楷体" w:eastAsia="楷体_GB2312"/>
          <w:spacing w:val="-4"/>
          <w:sz w:val="32"/>
          <w:szCs w:val="32"/>
        </w:rPr>
        <w:t>（一）项目组织情况分析</w:t>
      </w:r>
    </w:p>
    <w:p>
      <w:pPr>
        <w:spacing w:line="600" w:lineRule="exact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公司除建立健全的管理体系外，加大了对技术人才方面的储备，定期安排技术人员的培训与学习，提升本企业科技人员的水平，为企业人员提供可发展平台并不断的吸纳高素质专业人才加盟公司，不断积极引进新技术，加强产品研发。</w:t>
      </w:r>
    </w:p>
    <w:p>
      <w:pPr>
        <w:spacing w:line="600" w:lineRule="exact"/>
        <w:ind w:firstLine="627" w:firstLineChars="200"/>
        <w:rPr>
          <w:rStyle w:val="20"/>
          <w:rFonts w:ascii="楷体_GB2312" w:hAnsi="楷体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hAnsi="楷体" w:eastAsia="楷体_GB2312"/>
          <w:spacing w:val="-4"/>
          <w:sz w:val="32"/>
          <w:szCs w:val="32"/>
        </w:rPr>
        <w:t>（二）项目管理情况分析</w:t>
      </w:r>
    </w:p>
    <w:tbl>
      <w:tblPr>
        <w:tblStyle w:val="18"/>
        <w:tblW w:w="949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567"/>
        <w:gridCol w:w="850"/>
        <w:gridCol w:w="709"/>
        <w:gridCol w:w="1134"/>
        <w:gridCol w:w="992"/>
        <w:gridCol w:w="212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10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序号</w:t>
            </w:r>
          </w:p>
        </w:tc>
        <w:tc>
          <w:tcPr>
            <w:tcW w:w="567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年龄</w:t>
            </w:r>
          </w:p>
        </w:tc>
        <w:tc>
          <w:tcPr>
            <w:tcW w:w="709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职务</w:t>
            </w:r>
          </w:p>
        </w:tc>
        <w:tc>
          <w:tcPr>
            <w:tcW w:w="1134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职称</w:t>
            </w:r>
          </w:p>
        </w:tc>
        <w:tc>
          <w:tcPr>
            <w:tcW w:w="992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所学专业</w:t>
            </w:r>
          </w:p>
        </w:tc>
        <w:tc>
          <w:tcPr>
            <w:tcW w:w="2126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联系方式</w:t>
            </w:r>
          </w:p>
        </w:tc>
        <w:tc>
          <w:tcPr>
            <w:tcW w:w="2410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在本项目中</w:t>
            </w:r>
          </w:p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承担的任务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3" w:hRule="atLeast"/>
        </w:trPr>
        <w:tc>
          <w:tcPr>
            <w:tcW w:w="710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万斌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46</w:t>
            </w:r>
          </w:p>
        </w:tc>
        <w:tc>
          <w:tcPr>
            <w:tcW w:w="709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总经理</w:t>
            </w:r>
          </w:p>
        </w:tc>
        <w:tc>
          <w:tcPr>
            <w:tcW w:w="1134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高经</w:t>
            </w:r>
          </w:p>
        </w:tc>
        <w:tc>
          <w:tcPr>
            <w:tcW w:w="992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法律</w:t>
            </w:r>
          </w:p>
        </w:tc>
        <w:tc>
          <w:tcPr>
            <w:tcW w:w="2126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13325506111</w:t>
            </w:r>
          </w:p>
        </w:tc>
        <w:tc>
          <w:tcPr>
            <w:tcW w:w="2410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710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黎佳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27</w:t>
            </w:r>
          </w:p>
        </w:tc>
        <w:tc>
          <w:tcPr>
            <w:tcW w:w="709" w:type="dxa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总经理助理</w:t>
            </w:r>
          </w:p>
        </w:tc>
        <w:tc>
          <w:tcPr>
            <w:tcW w:w="1134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助理</w:t>
            </w:r>
          </w:p>
        </w:tc>
        <w:tc>
          <w:tcPr>
            <w:tcW w:w="992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管理</w:t>
            </w:r>
          </w:p>
        </w:tc>
        <w:tc>
          <w:tcPr>
            <w:tcW w:w="2126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13139720312</w:t>
            </w:r>
          </w:p>
        </w:tc>
        <w:tc>
          <w:tcPr>
            <w:tcW w:w="2410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知识产权负责人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10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王智霖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29</w:t>
            </w:r>
          </w:p>
        </w:tc>
        <w:tc>
          <w:tcPr>
            <w:tcW w:w="709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销售经理</w:t>
            </w:r>
          </w:p>
        </w:tc>
        <w:tc>
          <w:tcPr>
            <w:tcW w:w="1134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经理</w:t>
            </w:r>
          </w:p>
        </w:tc>
        <w:tc>
          <w:tcPr>
            <w:tcW w:w="992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英语</w:t>
            </w:r>
          </w:p>
        </w:tc>
        <w:tc>
          <w:tcPr>
            <w:tcW w:w="2126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13675860503</w:t>
            </w:r>
          </w:p>
        </w:tc>
        <w:tc>
          <w:tcPr>
            <w:tcW w:w="2410" w:type="dxa"/>
            <w:vAlign w:val="center"/>
          </w:tcPr>
          <w:p>
            <w:pPr>
              <w:spacing w:line="600" w:lineRule="exact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检索分析国内外专利数据并建立专题数据库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</w:trPr>
        <w:tc>
          <w:tcPr>
            <w:tcW w:w="710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张红梅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30</w:t>
            </w:r>
          </w:p>
        </w:tc>
        <w:tc>
          <w:tcPr>
            <w:tcW w:w="709" w:type="dxa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目主管</w:t>
            </w:r>
          </w:p>
        </w:tc>
        <w:tc>
          <w:tcPr>
            <w:tcW w:w="1134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主任</w:t>
            </w:r>
          </w:p>
        </w:tc>
        <w:tc>
          <w:tcPr>
            <w:tcW w:w="992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国际贸易</w:t>
            </w:r>
          </w:p>
        </w:tc>
        <w:tc>
          <w:tcPr>
            <w:tcW w:w="2126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13040451525</w:t>
            </w:r>
          </w:p>
        </w:tc>
        <w:tc>
          <w:tcPr>
            <w:tcW w:w="2410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检索分析国内外专利数据并建立专题数据库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6" w:hRule="atLeast"/>
        </w:trPr>
        <w:tc>
          <w:tcPr>
            <w:tcW w:w="710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郑旭刚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35</w:t>
            </w:r>
          </w:p>
        </w:tc>
        <w:tc>
          <w:tcPr>
            <w:tcW w:w="709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项副管</w:t>
            </w:r>
          </w:p>
        </w:tc>
        <w:tc>
          <w:tcPr>
            <w:tcW w:w="1134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副主任</w:t>
            </w:r>
          </w:p>
        </w:tc>
        <w:tc>
          <w:tcPr>
            <w:tcW w:w="992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机械工程</w:t>
            </w:r>
          </w:p>
        </w:tc>
        <w:tc>
          <w:tcPr>
            <w:tcW w:w="2126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color w:val="FF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14799088007</w:t>
            </w:r>
          </w:p>
        </w:tc>
        <w:tc>
          <w:tcPr>
            <w:tcW w:w="2410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技术负责人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6" w:hRule="atLeast"/>
        </w:trPr>
        <w:tc>
          <w:tcPr>
            <w:tcW w:w="710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付怀</w:t>
            </w:r>
            <w:r>
              <w:rPr>
                <w:rFonts w:hint="eastAsia" w:ascii="微软雅黑" w:hAnsi="微软雅黑" w:eastAsia="微软雅黑" w:cs="微软雅黑"/>
                <w:sz w:val="32"/>
                <w:szCs w:val="32"/>
              </w:rPr>
              <w:t>玥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28</w:t>
            </w:r>
          </w:p>
        </w:tc>
        <w:tc>
          <w:tcPr>
            <w:tcW w:w="709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综合管理</w:t>
            </w:r>
          </w:p>
        </w:tc>
        <w:tc>
          <w:tcPr>
            <w:tcW w:w="1134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助工</w:t>
            </w:r>
          </w:p>
        </w:tc>
        <w:tc>
          <w:tcPr>
            <w:tcW w:w="992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行政管理</w:t>
            </w:r>
          </w:p>
        </w:tc>
        <w:tc>
          <w:tcPr>
            <w:tcW w:w="2126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15899030400</w:t>
            </w:r>
          </w:p>
        </w:tc>
        <w:tc>
          <w:tcPr>
            <w:tcW w:w="2410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项目档案管理</w:t>
            </w:r>
          </w:p>
        </w:tc>
      </w:tr>
    </w:tbl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我单位在2016年8月8日新出台了知识产权奖励办法，已按照奖励办法中的规定奖励相关人员；</w:t>
      </w:r>
    </w:p>
    <w:p>
      <w:pPr>
        <w:spacing w:line="60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知识产权</w:t>
      </w:r>
      <w:r>
        <w:rPr>
          <w:rFonts w:hint="eastAsia" w:ascii="仿宋_GB2312" w:hAnsi="宋体" w:eastAsia="仿宋_GB2312" w:cs="Arial"/>
          <w:b/>
          <w:sz w:val="32"/>
          <w:szCs w:val="32"/>
        </w:rPr>
        <w:t>人才培养</w:t>
      </w:r>
      <w:r>
        <w:rPr>
          <w:rFonts w:hint="eastAsia" w:ascii="仿宋_GB2312" w:hAnsi="宋体" w:eastAsia="仿宋_GB2312"/>
          <w:b/>
          <w:sz w:val="32"/>
          <w:szCs w:val="32"/>
        </w:rPr>
        <w:t>情况：</w:t>
      </w:r>
    </w:p>
    <w:p>
      <w:pPr>
        <w:snapToGrid w:val="0"/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定期安排本公司的知识产权管理人员进行该方面的学习与培训，2016年9月4日-10日参加了自治区知识产权局开办的《知识产权管理规范》2人次的培训。2017年3月25日参加了自治区科技局举办的《企业知识产权管理概述》2人次的培训，授课人：知信科技公司杨连勇老师。并将课件资料进行归档整理； 两年来，先后5次组织公司管理人员学习《中华人民共和国专利法》、《关于贯彻落实自治区知识产权战略纲要的实施意见》、《关于加强专利行政保护工作的通知》、《新疆维吾尔自治区知识产权战略纲要》等法律法规。</w:t>
      </w:r>
    </w:p>
    <w:p>
      <w:pPr>
        <w:spacing w:line="600" w:lineRule="exact"/>
        <w:ind w:firstLine="624" w:firstLineChars="200"/>
        <w:rPr>
          <w:rStyle w:val="20"/>
          <w:rFonts w:ascii="黑体" w:hAnsi="黑体" w:eastAsia="黑体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before="156" w:beforeLines="50" w:after="156" w:afterLines="50"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1.企业投入资金预算和实际情况对比表</w:t>
      </w:r>
    </w:p>
    <w:tbl>
      <w:tblPr>
        <w:tblStyle w:val="18"/>
        <w:tblW w:w="8625" w:type="dxa"/>
        <w:tblInd w:w="2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3271"/>
        <w:gridCol w:w="1485"/>
        <w:gridCol w:w="1485"/>
        <w:gridCol w:w="14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929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序号</w:t>
            </w:r>
          </w:p>
        </w:tc>
        <w:tc>
          <w:tcPr>
            <w:tcW w:w="3271" w:type="dxa"/>
            <w:vAlign w:val="center"/>
          </w:tcPr>
          <w:p>
            <w:pPr>
              <w:spacing w:line="600" w:lineRule="exact"/>
              <w:ind w:firstLine="643" w:firstLineChars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项  目</w:t>
            </w:r>
          </w:p>
        </w:tc>
        <w:tc>
          <w:tcPr>
            <w:tcW w:w="1485" w:type="dxa"/>
            <w:vAlign w:val="center"/>
          </w:tcPr>
          <w:p>
            <w:pPr>
              <w:spacing w:line="600" w:lineRule="exact"/>
              <w:rPr>
                <w:rFonts w:ascii="仿宋_GB2312" w:hAnsi="宋体" w:eastAsia="仿宋_GB2312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2"/>
                <w:szCs w:val="32"/>
              </w:rPr>
              <w:t>预算金额</w:t>
            </w:r>
          </w:p>
          <w:p>
            <w:pPr>
              <w:spacing w:line="600" w:lineRule="exact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（万元）</w:t>
            </w:r>
          </w:p>
        </w:tc>
        <w:tc>
          <w:tcPr>
            <w:tcW w:w="1485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2"/>
                <w:szCs w:val="32"/>
              </w:rPr>
              <w:t>实际支出</w:t>
            </w:r>
          </w:p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（万元）</w:t>
            </w:r>
          </w:p>
        </w:tc>
        <w:tc>
          <w:tcPr>
            <w:tcW w:w="1455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变动比例</w:t>
            </w:r>
          </w:p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（%）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</w:t>
            </w:r>
          </w:p>
        </w:tc>
        <w:tc>
          <w:tcPr>
            <w:tcW w:w="3271" w:type="dxa"/>
          </w:tcPr>
          <w:p>
            <w:pPr>
              <w:spacing w:line="600" w:lineRule="exact"/>
              <w:ind w:firstLine="640" w:firstLineChars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原材料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60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68</w:t>
            </w:r>
          </w:p>
        </w:tc>
        <w:tc>
          <w:tcPr>
            <w:tcW w:w="1455" w:type="dxa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13.33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</w:t>
            </w:r>
          </w:p>
        </w:tc>
        <w:tc>
          <w:tcPr>
            <w:tcW w:w="3271" w:type="dxa"/>
          </w:tcPr>
          <w:p>
            <w:pPr>
              <w:spacing w:line="600" w:lineRule="exact"/>
              <w:ind w:firstLine="640" w:firstLineChars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基础建设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10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12</w:t>
            </w:r>
          </w:p>
        </w:tc>
        <w:tc>
          <w:tcPr>
            <w:tcW w:w="145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</w:t>
            </w:r>
          </w:p>
        </w:tc>
        <w:tc>
          <w:tcPr>
            <w:tcW w:w="3271" w:type="dxa"/>
          </w:tcPr>
          <w:p>
            <w:pPr>
              <w:spacing w:line="600" w:lineRule="exact"/>
              <w:ind w:firstLine="640" w:firstLineChars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仪器、设备费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30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33</w:t>
            </w:r>
          </w:p>
        </w:tc>
        <w:tc>
          <w:tcPr>
            <w:tcW w:w="145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4</w:t>
            </w:r>
          </w:p>
        </w:tc>
        <w:tc>
          <w:tcPr>
            <w:tcW w:w="3271" w:type="dxa"/>
          </w:tcPr>
          <w:p>
            <w:pPr>
              <w:spacing w:line="600" w:lineRule="exact"/>
              <w:ind w:firstLine="640" w:firstLineChars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运输费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10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11</w:t>
            </w:r>
          </w:p>
        </w:tc>
        <w:tc>
          <w:tcPr>
            <w:tcW w:w="145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5</w:t>
            </w:r>
          </w:p>
        </w:tc>
        <w:tc>
          <w:tcPr>
            <w:tcW w:w="3271" w:type="dxa"/>
          </w:tcPr>
          <w:p>
            <w:pPr>
              <w:spacing w:line="600" w:lineRule="exact"/>
              <w:ind w:firstLine="640" w:firstLineChars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能源费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5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5.8</w:t>
            </w:r>
          </w:p>
        </w:tc>
        <w:tc>
          <w:tcPr>
            <w:tcW w:w="145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gridSpan w:val="2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合计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115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128</w:t>
            </w:r>
          </w:p>
        </w:tc>
        <w:tc>
          <w:tcPr>
            <w:tcW w:w="1455" w:type="dxa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11.3</w:t>
            </w:r>
          </w:p>
        </w:tc>
      </w:tr>
    </w:tbl>
    <w:p>
      <w:pPr>
        <w:adjustRightInd w:val="0"/>
        <w:snapToGrid w:val="0"/>
        <w:spacing w:before="156" w:beforeLines="50" w:after="156" w:afterLines="50" w:line="600" w:lineRule="exact"/>
        <w:ind w:firstLine="200"/>
        <w:rPr>
          <w:rFonts w:ascii="仿宋_GB2312" w:hAnsi="宋体" w:eastAsia="仿宋_GB2312"/>
          <w:sz w:val="28"/>
        </w:rPr>
      </w:pPr>
    </w:p>
    <w:p>
      <w:pPr>
        <w:adjustRightInd w:val="0"/>
        <w:snapToGrid w:val="0"/>
        <w:spacing w:before="156" w:beforeLines="50" w:after="156" w:afterLines="50" w:line="600" w:lineRule="exact"/>
        <w:ind w:firstLine="200"/>
        <w:rPr>
          <w:rFonts w:ascii="仿宋_GB2312" w:hAnsi="宋体" w:eastAsia="仿宋_GB2312"/>
          <w:sz w:val="28"/>
        </w:rPr>
      </w:pPr>
    </w:p>
    <w:p>
      <w:pPr>
        <w:adjustRightInd w:val="0"/>
        <w:snapToGrid w:val="0"/>
        <w:spacing w:before="156" w:beforeLines="50" w:after="156" w:afterLines="50" w:line="600" w:lineRule="exact"/>
        <w:ind w:firstLine="200"/>
        <w:rPr>
          <w:rFonts w:hint="eastAsia" w:ascii="仿宋_GB2312" w:hAnsi="宋体" w:eastAsia="仿宋_GB2312"/>
          <w:sz w:val="28"/>
        </w:rPr>
      </w:pPr>
    </w:p>
    <w:p>
      <w:pPr>
        <w:adjustRightInd w:val="0"/>
        <w:snapToGrid w:val="0"/>
        <w:spacing w:before="156" w:beforeLines="50" w:after="156" w:afterLines="50"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2.政府拨款资金</w:t>
      </w:r>
      <w:r>
        <w:rPr>
          <w:rFonts w:hint="eastAsia" w:ascii="仿宋_GB2312" w:hAnsi="宋体" w:eastAsia="仿宋_GB2312" w:cs="Arial"/>
          <w:sz w:val="32"/>
          <w:szCs w:val="32"/>
        </w:rPr>
        <w:t>预算和实际情况对比表</w:t>
      </w:r>
    </w:p>
    <w:tbl>
      <w:tblPr>
        <w:tblStyle w:val="18"/>
        <w:tblW w:w="8581" w:type="dxa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3143"/>
        <w:gridCol w:w="1629"/>
        <w:gridCol w:w="1455"/>
        <w:gridCol w:w="14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69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序号</w:t>
            </w:r>
          </w:p>
        </w:tc>
        <w:tc>
          <w:tcPr>
            <w:tcW w:w="3143" w:type="dxa"/>
            <w:vAlign w:val="center"/>
          </w:tcPr>
          <w:p>
            <w:pPr>
              <w:spacing w:line="600" w:lineRule="exact"/>
              <w:ind w:firstLine="643" w:firstLineChars="200"/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项  目</w:t>
            </w:r>
          </w:p>
        </w:tc>
        <w:tc>
          <w:tcPr>
            <w:tcW w:w="1629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2"/>
                <w:szCs w:val="32"/>
              </w:rPr>
              <w:t>预算金额</w:t>
            </w:r>
          </w:p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（万元）</w:t>
            </w:r>
          </w:p>
        </w:tc>
        <w:tc>
          <w:tcPr>
            <w:tcW w:w="1455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2"/>
                <w:szCs w:val="32"/>
              </w:rPr>
              <w:t>实际支出</w:t>
            </w:r>
          </w:p>
          <w:p>
            <w:pPr>
              <w:spacing w:line="600" w:lineRule="exact"/>
              <w:ind w:firstLine="200"/>
              <w:rPr>
                <w:rFonts w:ascii="仿宋_GB2312" w:hAnsi="宋体" w:eastAsia="仿宋_GB2312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（万元）</w:t>
            </w:r>
          </w:p>
        </w:tc>
        <w:tc>
          <w:tcPr>
            <w:tcW w:w="1485" w:type="dxa"/>
            <w:vAlign w:val="center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变动比例</w:t>
            </w:r>
          </w:p>
          <w:p>
            <w:pPr>
              <w:spacing w:line="600" w:lineRule="exact"/>
              <w:ind w:firstLine="200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（%）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</w:t>
            </w:r>
          </w:p>
        </w:tc>
        <w:tc>
          <w:tcPr>
            <w:tcW w:w="3143" w:type="dxa"/>
          </w:tcPr>
          <w:p>
            <w:pPr>
              <w:spacing w:line="600" w:lineRule="exact"/>
              <w:ind w:firstLine="640" w:firstLineChars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专利信息分析、研发费用、试验材料费</w:t>
            </w:r>
          </w:p>
        </w:tc>
        <w:tc>
          <w:tcPr>
            <w:tcW w:w="1629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10</w:t>
            </w:r>
          </w:p>
        </w:tc>
        <w:tc>
          <w:tcPr>
            <w:tcW w:w="145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10.1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</w:t>
            </w:r>
          </w:p>
        </w:tc>
        <w:tc>
          <w:tcPr>
            <w:tcW w:w="3143" w:type="dxa"/>
          </w:tcPr>
          <w:p>
            <w:pPr>
              <w:spacing w:line="600" w:lineRule="exact"/>
              <w:ind w:firstLine="640" w:firstLineChars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专家技术服务费、专利检索费、查新报告费</w:t>
            </w:r>
          </w:p>
        </w:tc>
        <w:tc>
          <w:tcPr>
            <w:tcW w:w="1629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9</w:t>
            </w:r>
          </w:p>
        </w:tc>
        <w:tc>
          <w:tcPr>
            <w:tcW w:w="145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9.5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5.6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  <w:vAlign w:val="center"/>
          </w:tcPr>
          <w:p>
            <w:pPr>
              <w:spacing w:line="600" w:lineRule="exact"/>
              <w:ind w:firstLine="640" w:firstLineChars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</w:t>
            </w:r>
          </w:p>
        </w:tc>
        <w:tc>
          <w:tcPr>
            <w:tcW w:w="3143" w:type="dxa"/>
          </w:tcPr>
          <w:p>
            <w:pPr>
              <w:spacing w:line="600" w:lineRule="exact"/>
              <w:ind w:firstLine="640" w:firstLineChars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知识产权培训、企业贯标、项目调研费</w:t>
            </w:r>
          </w:p>
        </w:tc>
        <w:tc>
          <w:tcPr>
            <w:tcW w:w="1629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12</w:t>
            </w:r>
          </w:p>
        </w:tc>
        <w:tc>
          <w:tcPr>
            <w:tcW w:w="1455" w:type="dxa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12.26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  <w:vAlign w:val="center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4</w:t>
            </w:r>
          </w:p>
        </w:tc>
        <w:tc>
          <w:tcPr>
            <w:tcW w:w="3143" w:type="dxa"/>
          </w:tcPr>
          <w:p>
            <w:pPr>
              <w:spacing w:line="600" w:lineRule="exact"/>
              <w:ind w:firstLine="640" w:firstLineChars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申请费、委托专利机构代理费、专利年费</w:t>
            </w:r>
          </w:p>
        </w:tc>
        <w:tc>
          <w:tcPr>
            <w:tcW w:w="1629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4</w:t>
            </w:r>
          </w:p>
        </w:tc>
        <w:tc>
          <w:tcPr>
            <w:tcW w:w="145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4.2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2" w:type="dxa"/>
            <w:gridSpan w:val="2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合计</w:t>
            </w:r>
          </w:p>
        </w:tc>
        <w:tc>
          <w:tcPr>
            <w:tcW w:w="1629" w:type="dxa"/>
          </w:tcPr>
          <w:p>
            <w:pPr>
              <w:spacing w:line="600" w:lineRule="exact"/>
              <w:ind w:firstLine="640" w:firstLineChars="200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35</w:t>
            </w:r>
          </w:p>
        </w:tc>
        <w:tc>
          <w:tcPr>
            <w:tcW w:w="1455" w:type="dxa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36.14</w:t>
            </w:r>
          </w:p>
        </w:tc>
        <w:tc>
          <w:tcPr>
            <w:tcW w:w="1485" w:type="dxa"/>
          </w:tcPr>
          <w:p>
            <w:pPr>
              <w:spacing w:line="600" w:lineRule="exact"/>
              <w:ind w:firstLine="200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3.26</w:t>
            </w:r>
          </w:p>
        </w:tc>
      </w:tr>
    </w:tbl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项目执行期内本单位知识产权培训工作。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（1）培训总人数(次)：26 人次；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（2）中层以上干部培训人数(次)：11人次。均达到申报时的培训要求。</w:t>
      </w:r>
    </w:p>
    <w:p>
      <w:pPr>
        <w:spacing w:line="600" w:lineRule="exact"/>
        <w:ind w:firstLine="624" w:firstLineChars="20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（一）后续工作计划</w:t>
      </w:r>
    </w:p>
    <w:p>
      <w:pPr>
        <w:tabs>
          <w:tab w:val="left" w:pos="732"/>
          <w:tab w:val="left" w:pos="1050"/>
        </w:tabs>
        <w:spacing w:line="600" w:lineRule="exact"/>
        <w:ind w:firstLine="640" w:firstLineChars="200"/>
        <w:rPr>
          <w:rFonts w:ascii="仿宋_GB2312" w:hAnsi="宋体" w:eastAsia="仿宋_GB2312" w:cs="Arial"/>
          <w:sz w:val="32"/>
          <w:szCs w:val="32"/>
        </w:rPr>
      </w:pPr>
      <w:r>
        <w:rPr>
          <w:rFonts w:hint="eastAsia" w:ascii="仿宋_GB2312" w:hAnsi="宋体" w:eastAsia="仿宋_GB2312" w:cs="Arial"/>
          <w:sz w:val="32"/>
          <w:szCs w:val="32"/>
        </w:rPr>
        <w:t>1、加强知识产权制度建设</w:t>
      </w:r>
    </w:p>
    <w:p>
      <w:pPr>
        <w:tabs>
          <w:tab w:val="left" w:pos="732"/>
          <w:tab w:val="left" w:pos="1050"/>
        </w:tabs>
        <w:spacing w:line="600" w:lineRule="exact"/>
        <w:ind w:firstLine="640" w:firstLineChars="200"/>
        <w:rPr>
          <w:rFonts w:ascii="仿宋_GB2312" w:hAnsi="宋体" w:eastAsia="仿宋_GB2312" w:cs="Arial"/>
          <w:sz w:val="32"/>
          <w:szCs w:val="32"/>
        </w:rPr>
      </w:pPr>
      <w:r>
        <w:rPr>
          <w:rFonts w:hint="eastAsia" w:ascii="仿宋_GB2312" w:hAnsi="宋体" w:eastAsia="仿宋_GB2312" w:cs="Arial"/>
          <w:sz w:val="32"/>
          <w:szCs w:val="32"/>
        </w:rPr>
        <w:t xml:space="preserve">  通过了解公司具体情况，制定知识产权管理的制度，因为一切工作的基础必须依据合理优化的流程，只有规范了制度，才能依据相应的管理制度进行有条不紊的工作，并且将该制度融入公司研发以及经营的流程中，保证知识产权工作与公司经营活动的同步性。</w:t>
      </w:r>
    </w:p>
    <w:p>
      <w:pPr>
        <w:tabs>
          <w:tab w:val="left" w:pos="732"/>
          <w:tab w:val="left" w:pos="1050"/>
        </w:tabs>
        <w:spacing w:line="600" w:lineRule="exact"/>
        <w:ind w:firstLine="640" w:firstLineChars="200"/>
        <w:rPr>
          <w:rFonts w:ascii="仿宋_GB2312" w:hAnsi="宋体" w:eastAsia="仿宋_GB2312" w:cs="Arial"/>
          <w:sz w:val="32"/>
          <w:szCs w:val="32"/>
        </w:rPr>
      </w:pPr>
      <w:r>
        <w:rPr>
          <w:rFonts w:hint="eastAsia" w:ascii="仿宋_GB2312" w:hAnsi="宋体" w:eastAsia="仿宋_GB2312" w:cs="Arial"/>
          <w:sz w:val="32"/>
          <w:szCs w:val="32"/>
        </w:rPr>
        <w:t>2、知识产权许可、利益转化</w:t>
      </w:r>
    </w:p>
    <w:p>
      <w:pPr>
        <w:tabs>
          <w:tab w:val="left" w:pos="732"/>
          <w:tab w:val="left" w:pos="1050"/>
        </w:tabs>
        <w:spacing w:line="600" w:lineRule="exact"/>
        <w:ind w:firstLine="640" w:firstLineChars="200"/>
        <w:rPr>
          <w:rFonts w:ascii="仿宋_GB2312" w:hAnsi="宋体" w:eastAsia="仿宋_GB2312" w:cs="Arial"/>
          <w:sz w:val="30"/>
          <w:szCs w:val="30"/>
        </w:rPr>
      </w:pPr>
      <w:r>
        <w:rPr>
          <w:rFonts w:hint="eastAsia" w:ascii="仿宋_GB2312" w:hAnsi="宋体" w:eastAsia="仿宋_GB2312" w:cs="Arial"/>
          <w:sz w:val="32"/>
          <w:szCs w:val="32"/>
        </w:rPr>
        <w:t>在保护的基础上以知识产权许可的方式获取最大利益，也可以在公司产品遭遇风险时，作为交叉许可的保护伞。许可是知识产权工作中最有价值的一环，也是企业达到知识产权强势地位的最佳表现方式。应当算是企业知识产权战略的最终目的。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（二）主要经验及做法、存在问题和建议</w:t>
      </w:r>
    </w:p>
    <w:p>
      <w:pPr>
        <w:pStyle w:val="12"/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现有不利因素或可能发生的不利因素，拟采取的措施：</w:t>
      </w:r>
    </w:p>
    <w:p>
      <w:pPr>
        <w:pStyle w:val="12"/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1、财务方面：由于货物运往国外运输时间过长，而客户收到货物后未能及时付款，会存在拖欠货款问题，占用公司流动资金的问题。</w:t>
      </w:r>
    </w:p>
    <w:p>
      <w:pPr>
        <w:pStyle w:val="12"/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措施：公司将从不断改善收款方式、增强应收账款回收的安全性、建立有效回笼货款的财务制度，加大催收力度等措施，入手加强对应收账款的管理工作。</w:t>
      </w:r>
    </w:p>
    <w:p>
      <w:pPr>
        <w:pStyle w:val="12"/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2、技术人才方面：作为成长较快的私营企业，随着公司各项业务的快速发展，对高素质人才的需求也会不断增大，如何吸引并留住人才。</w:t>
      </w:r>
    </w:p>
    <w:p>
      <w:pPr>
        <w:pStyle w:val="12"/>
        <w:spacing w:line="600" w:lineRule="exact"/>
        <w:ind w:firstLine="640" w:firstLineChars="200"/>
        <w:rPr>
          <w:rStyle w:val="20"/>
          <w:rFonts w:ascii="仿宋_GB2312" w:hAnsi="Times New Roman" w:eastAsia="仿宋_GB2312"/>
          <w:b w:val="0"/>
          <w:bCs w:val="0"/>
          <w:sz w:val="28"/>
        </w:rPr>
      </w:pPr>
      <w:r>
        <w:rPr>
          <w:rFonts w:hint="eastAsia" w:ascii="仿宋_GB2312" w:hAnsi="宋体" w:eastAsia="仿宋_GB2312"/>
          <w:sz w:val="32"/>
          <w:szCs w:val="32"/>
        </w:rPr>
        <w:t>措施：公司除建立健全的管理体系外，加大进行对技术人才方面的储备，定期安排技术人员的培训与学习，提升本企业科技人员的水平，为企业人员提供可发展平台并不断的吸纳高素质专业人才加盟公司，不断积极引进新技术，加强产品研发。</w:t>
      </w:r>
    </w:p>
    <w:p>
      <w:pPr>
        <w:spacing w:line="600" w:lineRule="exact"/>
        <w:ind w:firstLine="624" w:firstLineChars="20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tbl>
      <w:tblPr>
        <w:tblStyle w:val="18"/>
        <w:tblpPr w:leftFromText="180" w:rightFromText="180" w:vertAnchor="page" w:horzAnchor="margin" w:tblpXSpec="center" w:tblpY="2191"/>
        <w:tblOverlap w:val="never"/>
        <w:tblW w:w="9648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537"/>
        <w:gridCol w:w="900"/>
        <w:gridCol w:w="886"/>
        <w:gridCol w:w="301"/>
        <w:gridCol w:w="610"/>
        <w:gridCol w:w="839"/>
        <w:gridCol w:w="885"/>
        <w:gridCol w:w="700"/>
        <w:gridCol w:w="173"/>
        <w:gridCol w:w="875"/>
        <w:gridCol w:w="851"/>
        <w:gridCol w:w="879"/>
        <w:gridCol w:w="30"/>
        <w:gridCol w:w="1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55" w:hRule="exact"/>
        </w:trPr>
        <w:tc>
          <w:tcPr>
            <w:tcW w:w="117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firstLine="20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项目实施期间知识产体系建设发展情况</w:t>
            </w:r>
          </w:p>
        </w:tc>
        <w:tc>
          <w:tcPr>
            <w:tcW w:w="262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管理机构是否调整加强</w:t>
            </w:r>
          </w:p>
        </w:tc>
        <w:tc>
          <w:tcPr>
            <w:tcW w:w="5842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知识产权办公室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26" w:hRule="atLeast"/>
        </w:trPr>
        <w:tc>
          <w:tcPr>
            <w:tcW w:w="117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right="-210" w:firstLine="482" w:firstLineChars="20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62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2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知识产权工作人员</w:t>
            </w:r>
          </w:p>
        </w:tc>
        <w:tc>
          <w:tcPr>
            <w:tcW w:w="303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right="-210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专职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2 </w:t>
            </w:r>
            <w:r>
              <w:rPr>
                <w:rFonts w:hint="eastAsia" w:ascii="仿宋_GB2312" w:eastAsia="仿宋_GB2312"/>
                <w:sz w:val="24"/>
              </w:rPr>
              <w:t>人兼职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1  </w:t>
            </w: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  <w:tc>
          <w:tcPr>
            <w:tcW w:w="280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比实施前一年度增加</w:t>
            </w:r>
          </w:p>
          <w:p>
            <w:pPr>
              <w:adjustRightInd w:val="0"/>
              <w:snapToGrid w:val="0"/>
              <w:spacing w:line="6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0 </w:t>
            </w: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91" w:hRule="atLeast"/>
        </w:trPr>
        <w:tc>
          <w:tcPr>
            <w:tcW w:w="117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right="-210" w:firstLine="482" w:firstLineChars="20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62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知识产权工作经费投入</w:t>
            </w:r>
          </w:p>
        </w:tc>
        <w:tc>
          <w:tcPr>
            <w:tcW w:w="303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right="-210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年均：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37      </w:t>
            </w: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  <w:tc>
          <w:tcPr>
            <w:tcW w:w="280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比实施前一年度增长</w:t>
            </w:r>
          </w:p>
          <w:p>
            <w:pPr>
              <w:adjustRightInd w:val="0"/>
              <w:snapToGrid w:val="0"/>
              <w:spacing w:line="6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single"/>
              </w:rPr>
              <w:t xml:space="preserve">   48   </w:t>
            </w:r>
            <w:r>
              <w:rPr>
                <w:rFonts w:hint="eastAsia" w:ascii="仿宋_GB2312" w:eastAsia="仿宋_GB2312"/>
                <w:sz w:val="24"/>
              </w:rPr>
              <w:t>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2" w:type="dxa"/>
          <w:trHeight w:val="1335" w:hRule="exact"/>
        </w:trPr>
        <w:tc>
          <w:tcPr>
            <w:tcW w:w="117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20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项目实施期间专利信息利用情况</w:t>
            </w:r>
          </w:p>
        </w:tc>
        <w:tc>
          <w:tcPr>
            <w:tcW w:w="8436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40" w:firstLineChars="200"/>
              <w:jc w:val="left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新增专利检索人员</w:t>
            </w:r>
            <w:r>
              <w:rPr>
                <w:rFonts w:hint="eastAsia" w:ascii="仿宋_GB2312" w:hAnsi="宋体" w:eastAsia="仿宋_GB2312"/>
                <w:sz w:val="22"/>
                <w:u w:val="single"/>
              </w:rPr>
              <w:t xml:space="preserve">    1 </w:t>
            </w:r>
            <w:r>
              <w:rPr>
                <w:rFonts w:hint="eastAsia" w:ascii="仿宋_GB2312" w:hAnsi="宋体" w:eastAsia="仿宋_GB2312"/>
                <w:sz w:val="22"/>
              </w:rPr>
              <w:t>人，分别是：</w:t>
            </w:r>
          </w:p>
          <w:p>
            <w:pPr>
              <w:spacing w:line="600" w:lineRule="exact"/>
              <w:ind w:right="-208" w:firstLine="440" w:firstLineChars="200"/>
              <w:jc w:val="left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1.付怀</w:t>
            </w:r>
            <w:r>
              <w:rPr>
                <w:rFonts w:hint="eastAsia" w:ascii="微软雅黑" w:hAnsi="微软雅黑" w:eastAsia="微软雅黑" w:cs="微软雅黑"/>
                <w:sz w:val="22"/>
              </w:rPr>
              <w:t>玥</w:t>
            </w:r>
          </w:p>
          <w:p>
            <w:pPr>
              <w:spacing w:line="600" w:lineRule="exact"/>
              <w:ind w:right="-208" w:firstLine="440" w:firstLineChars="200"/>
              <w:jc w:val="left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2.</w:t>
            </w:r>
          </w:p>
          <w:p>
            <w:pPr>
              <w:spacing w:line="600" w:lineRule="exact"/>
              <w:ind w:right="-208" w:firstLine="440" w:firstLineChars="200"/>
              <w:jc w:val="left"/>
              <w:rPr>
                <w:rFonts w:ascii="仿宋_GB2312" w:hAnsi="宋体" w:eastAsia="仿宋_GB2312"/>
                <w:color w:val="FF0000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3.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exact"/>
        </w:trPr>
        <w:tc>
          <w:tcPr>
            <w:tcW w:w="1170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2" w:firstLineChars="200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478" w:type="dxa"/>
            <w:gridSpan w:val="14"/>
            <w:tcBorders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新技术或产品开发、技术引进、处理侵权纠纷等活动中专利信息检索实例：</w:t>
            </w:r>
          </w:p>
          <w:p>
            <w:pPr>
              <w:spacing w:line="600" w:lineRule="exact"/>
              <w:ind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1.《一种脱水番茄粒的加工方法》查新检索初检报告；</w:t>
            </w:r>
          </w:p>
          <w:p>
            <w:pPr>
              <w:spacing w:line="600" w:lineRule="exact"/>
              <w:ind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2.《一种色素辣椒加工方法及加工系统》查新检索初检报告；</w:t>
            </w:r>
          </w:p>
          <w:p>
            <w:pPr>
              <w:spacing w:line="600" w:lineRule="exact"/>
              <w:ind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3.《辣椒风力输送机》研究开发项目检索报告；</w:t>
            </w:r>
          </w:p>
          <w:p>
            <w:pPr>
              <w:spacing w:line="600" w:lineRule="exact"/>
              <w:ind w:right="-208"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  <w:r>
              <w:rPr>
                <w:rFonts w:hint="eastAsia" w:ascii="仿宋_GB2312" w:hAnsi="宋体" w:eastAsia="仿宋_GB2312"/>
                <w:sz w:val="24"/>
              </w:rPr>
              <w:t>.《辣椒切断除籽装置》研究开发项目检索报告；</w:t>
            </w:r>
          </w:p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5.《辣椒去石去尘装置》研究开发项目检索报告.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7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firstLine="200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项目实施期间知识产权产出情况</w:t>
            </w:r>
          </w:p>
        </w:tc>
        <w:tc>
          <w:tcPr>
            <w:tcW w:w="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</w:t>
            </w:r>
          </w:p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利</w:t>
            </w:r>
          </w:p>
        </w:tc>
        <w:tc>
          <w:tcPr>
            <w:tcW w:w="3536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累计申请（件）</w:t>
            </w:r>
          </w:p>
        </w:tc>
        <w:tc>
          <w:tcPr>
            <w:tcW w:w="3484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累计授权（件）</w:t>
            </w:r>
          </w:p>
        </w:tc>
        <w:tc>
          <w:tcPr>
            <w:tcW w:w="921" w:type="dxa"/>
            <w:gridSpan w:val="3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目前有效专利  </w:t>
            </w:r>
          </w:p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(件)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</w:trPr>
        <w:tc>
          <w:tcPr>
            <w:tcW w:w="117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PCT</w:t>
            </w:r>
          </w:p>
        </w:tc>
        <w:tc>
          <w:tcPr>
            <w:tcW w:w="886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发明</w:t>
            </w:r>
          </w:p>
        </w:tc>
        <w:tc>
          <w:tcPr>
            <w:tcW w:w="91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实用</w:t>
            </w:r>
          </w:p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新型</w:t>
            </w:r>
          </w:p>
        </w:tc>
        <w:tc>
          <w:tcPr>
            <w:tcW w:w="839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外观</w:t>
            </w:r>
          </w:p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设计</w:t>
            </w:r>
          </w:p>
        </w:tc>
        <w:tc>
          <w:tcPr>
            <w:tcW w:w="885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国外</w:t>
            </w:r>
          </w:p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授权</w:t>
            </w:r>
          </w:p>
        </w:tc>
        <w:tc>
          <w:tcPr>
            <w:tcW w:w="87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发明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实用</w:t>
            </w:r>
          </w:p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新型</w:t>
            </w:r>
          </w:p>
        </w:tc>
        <w:tc>
          <w:tcPr>
            <w:tcW w:w="851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外观</w:t>
            </w:r>
          </w:p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设计</w:t>
            </w:r>
          </w:p>
        </w:tc>
        <w:tc>
          <w:tcPr>
            <w:tcW w:w="92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</w:trPr>
        <w:tc>
          <w:tcPr>
            <w:tcW w:w="117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91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12</w:t>
            </w:r>
          </w:p>
        </w:tc>
        <w:tc>
          <w:tcPr>
            <w:tcW w:w="839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885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87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12</w:t>
            </w:r>
          </w:p>
        </w:tc>
        <w:tc>
          <w:tcPr>
            <w:tcW w:w="851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92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</w:trPr>
        <w:tc>
          <w:tcPr>
            <w:tcW w:w="117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143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商标</w:t>
            </w:r>
          </w:p>
        </w:tc>
        <w:tc>
          <w:tcPr>
            <w:tcW w:w="7041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申请注册：  0  件；其中，国内 0 件，国外：0件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exact"/>
        </w:trPr>
        <w:tc>
          <w:tcPr>
            <w:tcW w:w="117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143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其他</w:t>
            </w:r>
          </w:p>
        </w:tc>
        <w:tc>
          <w:tcPr>
            <w:tcW w:w="7041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无</w:t>
            </w:r>
          </w:p>
        </w:tc>
      </w:tr>
    </w:tbl>
    <w:p>
      <w:pPr>
        <w:spacing w:line="600" w:lineRule="exact"/>
        <w:ind w:firstLine="200"/>
        <w:rPr>
          <w:rStyle w:val="20"/>
          <w:rFonts w:ascii="仿宋_GB2312" w:hAnsi="黑体" w:eastAsia="仿宋_GB2312"/>
          <w:b w:val="0"/>
          <w:spacing w:val="-4"/>
          <w:sz w:val="32"/>
          <w:szCs w:val="32"/>
        </w:rPr>
      </w:pPr>
    </w:p>
    <w:tbl>
      <w:tblPr>
        <w:tblStyle w:val="18"/>
        <w:tblW w:w="964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537"/>
        <w:gridCol w:w="900"/>
        <w:gridCol w:w="886"/>
        <w:gridCol w:w="301"/>
        <w:gridCol w:w="610"/>
        <w:gridCol w:w="839"/>
        <w:gridCol w:w="885"/>
        <w:gridCol w:w="700"/>
        <w:gridCol w:w="173"/>
        <w:gridCol w:w="875"/>
        <w:gridCol w:w="851"/>
        <w:gridCol w:w="879"/>
        <w:gridCol w:w="30"/>
        <w:gridCol w:w="1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575" w:hRule="exact"/>
          <w:jc w:val="center"/>
        </w:trPr>
        <w:tc>
          <w:tcPr>
            <w:tcW w:w="117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firstLine="20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项目实施期间知识产体系建设发展情况</w:t>
            </w:r>
          </w:p>
        </w:tc>
        <w:tc>
          <w:tcPr>
            <w:tcW w:w="262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2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管理机构是否调整加强</w:t>
            </w:r>
          </w:p>
        </w:tc>
        <w:tc>
          <w:tcPr>
            <w:tcW w:w="5842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知识产权办公室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26" w:hRule="atLeast"/>
          <w:jc w:val="center"/>
        </w:trPr>
        <w:tc>
          <w:tcPr>
            <w:tcW w:w="117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right="-210" w:firstLine="482" w:firstLineChars="20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62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600" w:lineRule="exact"/>
              <w:ind w:firstLine="2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知识产权工作人员</w:t>
            </w:r>
          </w:p>
        </w:tc>
        <w:tc>
          <w:tcPr>
            <w:tcW w:w="303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right="-210" w:firstLine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专职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2 </w:t>
            </w:r>
            <w:r>
              <w:rPr>
                <w:rFonts w:hint="eastAsia" w:ascii="仿宋_GB2312" w:eastAsia="仿宋_GB2312"/>
                <w:sz w:val="24"/>
              </w:rPr>
              <w:t>人兼职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1  </w:t>
            </w: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  <w:tc>
          <w:tcPr>
            <w:tcW w:w="280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firstLine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比实施前一年度</w:t>
            </w:r>
          </w:p>
          <w:p>
            <w:pPr>
              <w:adjustRightInd w:val="0"/>
              <w:snapToGrid w:val="0"/>
              <w:spacing w:line="600" w:lineRule="exact"/>
              <w:ind w:firstLine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增加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0 </w:t>
            </w: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91" w:hRule="atLeast"/>
          <w:jc w:val="center"/>
        </w:trPr>
        <w:tc>
          <w:tcPr>
            <w:tcW w:w="117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right="-210" w:firstLine="482" w:firstLineChars="20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62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知识产权工作经费投入</w:t>
            </w:r>
          </w:p>
        </w:tc>
        <w:tc>
          <w:tcPr>
            <w:tcW w:w="303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right="-210" w:firstLine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年均：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37      </w:t>
            </w: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  <w:tc>
          <w:tcPr>
            <w:tcW w:w="280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firstLine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比实施前一年度增长</w:t>
            </w:r>
          </w:p>
          <w:p>
            <w:pPr>
              <w:adjustRightInd w:val="0"/>
              <w:snapToGrid w:val="0"/>
              <w:spacing w:line="6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single"/>
              </w:rPr>
              <w:t xml:space="preserve">   48   </w:t>
            </w:r>
            <w:r>
              <w:rPr>
                <w:rFonts w:hint="eastAsia" w:ascii="仿宋_GB2312" w:eastAsia="仿宋_GB2312"/>
                <w:sz w:val="24"/>
              </w:rPr>
              <w:t>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2" w:type="dxa"/>
          <w:trHeight w:val="1335" w:hRule="exact"/>
          <w:jc w:val="center"/>
        </w:trPr>
        <w:tc>
          <w:tcPr>
            <w:tcW w:w="117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20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项目实施期间专利信息利用情况</w:t>
            </w:r>
          </w:p>
        </w:tc>
        <w:tc>
          <w:tcPr>
            <w:tcW w:w="8436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40" w:firstLineChars="200"/>
              <w:jc w:val="left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新增专利检索人员</w:t>
            </w:r>
            <w:r>
              <w:rPr>
                <w:rFonts w:hint="eastAsia" w:ascii="仿宋_GB2312" w:hAnsi="宋体" w:eastAsia="仿宋_GB2312"/>
                <w:sz w:val="22"/>
                <w:u w:val="single"/>
              </w:rPr>
              <w:t xml:space="preserve">    1 </w:t>
            </w:r>
            <w:r>
              <w:rPr>
                <w:rFonts w:hint="eastAsia" w:ascii="仿宋_GB2312" w:hAnsi="宋体" w:eastAsia="仿宋_GB2312"/>
                <w:sz w:val="22"/>
              </w:rPr>
              <w:t>人，分别是：</w:t>
            </w:r>
          </w:p>
          <w:p>
            <w:pPr>
              <w:spacing w:line="600" w:lineRule="exact"/>
              <w:ind w:right="-208" w:firstLine="440" w:firstLineChars="200"/>
              <w:jc w:val="left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1.付怀</w:t>
            </w:r>
            <w:r>
              <w:rPr>
                <w:rFonts w:hint="eastAsia" w:ascii="微软雅黑" w:hAnsi="微软雅黑" w:eastAsia="微软雅黑" w:cs="微软雅黑"/>
                <w:sz w:val="22"/>
              </w:rPr>
              <w:t>玥</w:t>
            </w:r>
          </w:p>
          <w:p>
            <w:pPr>
              <w:spacing w:line="600" w:lineRule="exact"/>
              <w:ind w:right="-208" w:firstLine="440" w:firstLineChars="200"/>
              <w:jc w:val="left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2.</w:t>
            </w:r>
          </w:p>
          <w:p>
            <w:pPr>
              <w:spacing w:line="600" w:lineRule="exact"/>
              <w:ind w:right="-208" w:firstLine="440" w:firstLineChars="200"/>
              <w:jc w:val="left"/>
              <w:rPr>
                <w:rFonts w:ascii="仿宋_GB2312" w:hAnsi="宋体" w:eastAsia="仿宋_GB2312"/>
                <w:color w:val="FF0000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3.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exact"/>
          <w:jc w:val="center"/>
        </w:trPr>
        <w:tc>
          <w:tcPr>
            <w:tcW w:w="1170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2" w:firstLineChars="200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478" w:type="dxa"/>
            <w:gridSpan w:val="14"/>
            <w:tcBorders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新技术或产品开发、技术引进、处理侵权纠纷等活动中专利信息检索实例：</w:t>
            </w:r>
          </w:p>
          <w:p>
            <w:pPr>
              <w:spacing w:line="600" w:lineRule="exact"/>
              <w:ind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1.《一种脱水番茄粒的加工方法》查新检索初检报告；</w:t>
            </w:r>
          </w:p>
          <w:p>
            <w:pPr>
              <w:spacing w:line="600" w:lineRule="exact"/>
              <w:ind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2.《一种色素辣椒加工方法及加工系统》查新检索初检报告；</w:t>
            </w:r>
          </w:p>
          <w:p>
            <w:pPr>
              <w:spacing w:line="600" w:lineRule="exact"/>
              <w:ind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3.《辣椒风力输送机》研究开发项目检索报告；</w:t>
            </w:r>
          </w:p>
          <w:p>
            <w:pPr>
              <w:spacing w:line="600" w:lineRule="exact"/>
              <w:ind w:right="-208"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  <w:r>
              <w:rPr>
                <w:rFonts w:hint="eastAsia" w:ascii="仿宋_GB2312" w:hAnsi="宋体" w:eastAsia="仿宋_GB2312"/>
                <w:sz w:val="24"/>
              </w:rPr>
              <w:t>.《辣椒切断除籽装置》研究开发项目检索报告；</w:t>
            </w:r>
          </w:p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5.《辣椒去石去尘装置》研究开发项目检索报告.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7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firstLine="200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项目实施期间知识产权产出情况</w:t>
            </w:r>
          </w:p>
        </w:tc>
        <w:tc>
          <w:tcPr>
            <w:tcW w:w="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</w:t>
            </w:r>
          </w:p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利</w:t>
            </w:r>
          </w:p>
        </w:tc>
        <w:tc>
          <w:tcPr>
            <w:tcW w:w="3536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累计申请（件）</w:t>
            </w:r>
          </w:p>
        </w:tc>
        <w:tc>
          <w:tcPr>
            <w:tcW w:w="3484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累计授权（件）</w:t>
            </w:r>
          </w:p>
        </w:tc>
        <w:tc>
          <w:tcPr>
            <w:tcW w:w="921" w:type="dxa"/>
            <w:gridSpan w:val="3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目前有效专利  </w:t>
            </w:r>
          </w:p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(件)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117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PCT</w:t>
            </w:r>
          </w:p>
        </w:tc>
        <w:tc>
          <w:tcPr>
            <w:tcW w:w="886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发明</w:t>
            </w:r>
          </w:p>
        </w:tc>
        <w:tc>
          <w:tcPr>
            <w:tcW w:w="91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实用</w:t>
            </w:r>
          </w:p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新型</w:t>
            </w:r>
          </w:p>
        </w:tc>
        <w:tc>
          <w:tcPr>
            <w:tcW w:w="839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外观</w:t>
            </w:r>
          </w:p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设计</w:t>
            </w:r>
          </w:p>
        </w:tc>
        <w:tc>
          <w:tcPr>
            <w:tcW w:w="885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国外</w:t>
            </w:r>
          </w:p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授权</w:t>
            </w:r>
          </w:p>
        </w:tc>
        <w:tc>
          <w:tcPr>
            <w:tcW w:w="87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发明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实用</w:t>
            </w:r>
          </w:p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新型</w:t>
            </w:r>
          </w:p>
        </w:tc>
        <w:tc>
          <w:tcPr>
            <w:tcW w:w="851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外观</w:t>
            </w:r>
          </w:p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设计</w:t>
            </w:r>
          </w:p>
        </w:tc>
        <w:tc>
          <w:tcPr>
            <w:tcW w:w="921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117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91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12</w:t>
            </w:r>
          </w:p>
        </w:tc>
        <w:tc>
          <w:tcPr>
            <w:tcW w:w="839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885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87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12</w:t>
            </w:r>
          </w:p>
        </w:tc>
        <w:tc>
          <w:tcPr>
            <w:tcW w:w="851" w:type="dxa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92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17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143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商标</w:t>
            </w:r>
          </w:p>
        </w:tc>
        <w:tc>
          <w:tcPr>
            <w:tcW w:w="7041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申请注册：  0  件；其中，国内 0 件，国外：0件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exact"/>
          <w:jc w:val="center"/>
        </w:trPr>
        <w:tc>
          <w:tcPr>
            <w:tcW w:w="117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143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其他</w:t>
            </w:r>
          </w:p>
        </w:tc>
        <w:tc>
          <w:tcPr>
            <w:tcW w:w="7041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spacing w:line="600" w:lineRule="exact"/>
              <w:ind w:right="-208"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无</w:t>
            </w:r>
          </w:p>
        </w:tc>
      </w:tr>
    </w:tbl>
    <w:p>
      <w:pPr>
        <w:spacing w:line="600" w:lineRule="exact"/>
        <w:ind w:firstLine="200"/>
        <w:rPr>
          <w:rStyle w:val="20"/>
          <w:rFonts w:ascii="仿宋_GB2312" w:hAnsi="仿宋" w:eastAsia="仿宋_GB2312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600" w:lineRule="exact"/>
        <w:ind w:firstLine="624" w:firstLineChars="200"/>
        <w:rPr>
          <w:rStyle w:val="20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20"/>
          <w:rFonts w:hint="eastAsia" w:ascii="仿宋_GB2312" w:hAnsi="仿宋" w:eastAsia="仿宋_GB2312"/>
          <w:b w:val="0"/>
          <w:spacing w:val="-4"/>
          <w:sz w:val="32"/>
          <w:szCs w:val="32"/>
        </w:rPr>
        <w:t>《和静县财政项目支出绩效自评表》</w:t>
      </w:r>
    </w:p>
    <w:p>
      <w:pPr>
        <w:spacing w:line="600" w:lineRule="exact"/>
        <w:ind w:left="624" w:firstLine="200"/>
        <w:rPr>
          <w:rStyle w:val="20"/>
          <w:rFonts w:ascii="仿宋_GB2312" w:hAnsi="黑体" w:eastAsia="仿宋_GB2312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showingPlcHdr/>
    </w:sdtPr>
    <w:sdtContent>
      <w:p>
        <w:pPr>
          <w:pStyle w:val="14"/>
          <w:jc w:val="center"/>
        </w:pPr>
        <w:r>
          <w:t xml:space="preserve">     </w:t>
        </w:r>
      </w:p>
    </w:sdtContent>
  </w:sdt>
  <w:p>
    <w:pPr>
      <w:pStyle w:val="1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0B3210"/>
    <w:rsid w:val="000D631C"/>
    <w:rsid w:val="000F303C"/>
    <w:rsid w:val="00121AE4"/>
    <w:rsid w:val="00146AAD"/>
    <w:rsid w:val="001B3A40"/>
    <w:rsid w:val="00246358"/>
    <w:rsid w:val="002574E5"/>
    <w:rsid w:val="0028430B"/>
    <w:rsid w:val="002E590A"/>
    <w:rsid w:val="003908B7"/>
    <w:rsid w:val="004366A8"/>
    <w:rsid w:val="00454246"/>
    <w:rsid w:val="00502BA7"/>
    <w:rsid w:val="005162F1"/>
    <w:rsid w:val="00535153"/>
    <w:rsid w:val="00554F82"/>
    <w:rsid w:val="00557407"/>
    <w:rsid w:val="0056390D"/>
    <w:rsid w:val="005719B0"/>
    <w:rsid w:val="005D10D6"/>
    <w:rsid w:val="00605EE6"/>
    <w:rsid w:val="006646F2"/>
    <w:rsid w:val="0069633C"/>
    <w:rsid w:val="006E6BB4"/>
    <w:rsid w:val="00743B81"/>
    <w:rsid w:val="007643D3"/>
    <w:rsid w:val="00855E3A"/>
    <w:rsid w:val="00874D69"/>
    <w:rsid w:val="00887556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AE2960"/>
    <w:rsid w:val="00AE3457"/>
    <w:rsid w:val="00B40063"/>
    <w:rsid w:val="00B41F61"/>
    <w:rsid w:val="00B71B38"/>
    <w:rsid w:val="00BA46E6"/>
    <w:rsid w:val="00BC60AF"/>
    <w:rsid w:val="00C56C72"/>
    <w:rsid w:val="00C63DCE"/>
    <w:rsid w:val="00CA6457"/>
    <w:rsid w:val="00D05C6C"/>
    <w:rsid w:val="00D16AF4"/>
    <w:rsid w:val="00D17F2E"/>
    <w:rsid w:val="00D30354"/>
    <w:rsid w:val="00D80962"/>
    <w:rsid w:val="00D926BD"/>
    <w:rsid w:val="00DA73BA"/>
    <w:rsid w:val="00DC4647"/>
    <w:rsid w:val="00DD75F7"/>
    <w:rsid w:val="00DF42A0"/>
    <w:rsid w:val="00E00D00"/>
    <w:rsid w:val="00E11416"/>
    <w:rsid w:val="00E769FE"/>
    <w:rsid w:val="00E851E3"/>
    <w:rsid w:val="00E93401"/>
    <w:rsid w:val="00EA2CBE"/>
    <w:rsid w:val="00F32FEE"/>
    <w:rsid w:val="00F43834"/>
    <w:rsid w:val="00F80519"/>
    <w:rsid w:val="00F92948"/>
    <w:rsid w:val="00FB10BB"/>
    <w:rsid w:val="00FC3BB9"/>
    <w:rsid w:val="0531081A"/>
    <w:rsid w:val="44653F27"/>
    <w:rsid w:val="4CBA3183"/>
    <w:rsid w:val="52E376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9"/>
    <w:qFormat/>
    <w:uiPriority w:val="0"/>
    <w:pPr>
      <w:spacing w:after="120"/>
      <w:ind w:left="420" w:leftChars="200"/>
    </w:pPr>
    <w:rPr>
      <w:rFonts w:asciiTheme="minorHAnsi" w:hAnsiTheme="minorHAnsi"/>
      <w:szCs w:val="22"/>
    </w:rPr>
  </w:style>
  <w:style w:type="paragraph" w:styleId="12">
    <w:name w:val="Plain Text"/>
    <w:basedOn w:val="1"/>
    <w:link w:val="50"/>
    <w:uiPriority w:val="0"/>
    <w:pPr>
      <w:widowControl/>
      <w:jc w:val="left"/>
    </w:pPr>
    <w:rPr>
      <w:rFonts w:ascii="宋体" w:hAnsi="Courier New"/>
      <w:kern w:val="0"/>
      <w:sz w:val="20"/>
      <w:szCs w:val="20"/>
    </w:rPr>
  </w:style>
  <w:style w:type="paragraph" w:styleId="13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4">
    <w:name w:val="footer"/>
    <w:basedOn w:val="1"/>
    <w:link w:val="4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5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6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99"/>
    <w:rPr>
      <w:b/>
      <w:bCs/>
    </w:rPr>
  </w:style>
  <w:style w:type="character" w:styleId="21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字符"/>
    <w:basedOn w:val="19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字符"/>
    <w:basedOn w:val="19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字符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字符"/>
    <w:basedOn w:val="19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字符"/>
    <w:basedOn w:val="19"/>
    <w:link w:val="7"/>
    <w:semiHidden/>
    <w:uiPriority w:val="9"/>
    <w:rPr>
      <w:b/>
      <w:bCs/>
    </w:rPr>
  </w:style>
  <w:style w:type="character" w:customStyle="1" w:styleId="28">
    <w:name w:val="标题 7 字符"/>
    <w:basedOn w:val="19"/>
    <w:link w:val="8"/>
    <w:semiHidden/>
    <w:qFormat/>
    <w:uiPriority w:val="9"/>
    <w:rPr>
      <w:sz w:val="24"/>
      <w:szCs w:val="24"/>
    </w:rPr>
  </w:style>
  <w:style w:type="character" w:customStyle="1" w:styleId="29">
    <w:name w:val="标题 8 字符"/>
    <w:basedOn w:val="19"/>
    <w:link w:val="9"/>
    <w:semiHidden/>
    <w:uiPriority w:val="9"/>
    <w:rPr>
      <w:i/>
      <w:iCs/>
      <w:sz w:val="24"/>
      <w:szCs w:val="24"/>
    </w:rPr>
  </w:style>
  <w:style w:type="character" w:customStyle="1" w:styleId="30">
    <w:name w:val="标题 9 字符"/>
    <w:basedOn w:val="19"/>
    <w:link w:val="10"/>
    <w:semiHidden/>
    <w:uiPriority w:val="9"/>
    <w:rPr>
      <w:rFonts w:asciiTheme="majorHAnsi" w:hAnsiTheme="majorHAnsi" w:eastAsiaTheme="majorEastAsia"/>
    </w:rPr>
  </w:style>
  <w:style w:type="character" w:customStyle="1" w:styleId="31">
    <w:name w:val="标题 字符"/>
    <w:basedOn w:val="19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字符"/>
    <w:basedOn w:val="19"/>
    <w:link w:val="16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字符"/>
    <w:basedOn w:val="19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字符"/>
    <w:basedOn w:val="19"/>
    <w:link w:val="37"/>
    <w:qFormat/>
    <w:uiPriority w:val="30"/>
    <w:rPr>
      <w:b/>
      <w:i/>
      <w:sz w:val="24"/>
    </w:rPr>
  </w:style>
  <w:style w:type="character" w:customStyle="1" w:styleId="39">
    <w:name w:val="不明显强调1"/>
    <w:qFormat/>
    <w:uiPriority w:val="19"/>
    <w:rPr>
      <w:i/>
      <w:color w:val="595959" w:themeColor="text1" w:themeTint="A5"/>
    </w:rPr>
  </w:style>
  <w:style w:type="character" w:customStyle="1" w:styleId="40">
    <w:name w:val="明显强调1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1">
    <w:name w:val="不明显参考1"/>
    <w:basedOn w:val="19"/>
    <w:qFormat/>
    <w:uiPriority w:val="31"/>
    <w:rPr>
      <w:sz w:val="24"/>
      <w:szCs w:val="24"/>
      <w:u w:val="single"/>
    </w:rPr>
  </w:style>
  <w:style w:type="character" w:customStyle="1" w:styleId="42">
    <w:name w:val="明显参考1"/>
    <w:basedOn w:val="19"/>
    <w:qFormat/>
    <w:uiPriority w:val="32"/>
    <w:rPr>
      <w:b/>
      <w:sz w:val="24"/>
      <w:u w:val="single"/>
    </w:rPr>
  </w:style>
  <w:style w:type="character" w:customStyle="1" w:styleId="43">
    <w:name w:val="书籍标题1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字符"/>
    <w:basedOn w:val="19"/>
    <w:link w:val="15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字符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批注框文本 字符"/>
    <w:basedOn w:val="19"/>
    <w:link w:val="13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8">
    <w:name w:val="正文文本缩进 Char"/>
    <w:qFormat/>
    <w:uiPriority w:val="0"/>
    <w:rPr>
      <w:rFonts w:eastAsia="宋体"/>
      <w:kern w:val="2"/>
      <w:sz w:val="21"/>
    </w:rPr>
  </w:style>
  <w:style w:type="character" w:customStyle="1" w:styleId="49">
    <w:name w:val="正文文本缩进 字符"/>
    <w:basedOn w:val="19"/>
    <w:link w:val="11"/>
    <w:semiHidden/>
    <w:qFormat/>
    <w:uiPriority w:val="99"/>
    <w:rPr>
      <w:rFonts w:ascii="Times New Roman" w:hAnsi="Times New Roman" w:eastAsia="宋体"/>
      <w:kern w:val="2"/>
      <w:sz w:val="21"/>
      <w:szCs w:val="24"/>
    </w:rPr>
  </w:style>
  <w:style w:type="character" w:customStyle="1" w:styleId="50">
    <w:name w:val="纯文本 字符"/>
    <w:basedOn w:val="19"/>
    <w:link w:val="12"/>
    <w:qFormat/>
    <w:uiPriority w:val="0"/>
    <w:rPr>
      <w:rFonts w:ascii="宋体" w:hAnsi="Courier New" w:eastAsia="宋体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682552-0819-46D9-8F7F-5A176A8F7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760</Words>
  <Characters>4333</Characters>
  <Lines>36</Lines>
  <Paragraphs>10</Paragraphs>
  <TotalTime>177</TotalTime>
  <ScaleCrop>false</ScaleCrop>
  <LinksUpToDate>false</LinksUpToDate>
  <CharactersWithSpaces>5083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2021-05-29T11:58:12Z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