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1044" w:firstLineChars="200"/>
        <w:jc w:val="center"/>
        <w:rPr>
          <w:rFonts w:ascii="仿宋_GB2312" w:hAnsi="华文中宋" w:eastAsia="仿宋_GB2312" w:cs="宋体"/>
          <w:b/>
          <w:kern w:val="0"/>
          <w:sz w:val="52"/>
          <w:szCs w:val="52"/>
        </w:rPr>
      </w:pPr>
    </w:p>
    <w:p>
      <w:pPr>
        <w:spacing w:line="600" w:lineRule="exact"/>
        <w:ind w:firstLine="1044" w:firstLineChars="200"/>
        <w:jc w:val="center"/>
        <w:rPr>
          <w:rFonts w:ascii="仿宋_GB2312" w:hAnsi="华文中宋" w:eastAsia="仿宋_GB2312" w:cs="宋体"/>
          <w:b/>
          <w:kern w:val="0"/>
          <w:sz w:val="52"/>
          <w:szCs w:val="52"/>
        </w:rPr>
      </w:pPr>
    </w:p>
    <w:p>
      <w:pPr>
        <w:spacing w:line="600" w:lineRule="exact"/>
        <w:ind w:firstLine="1044" w:firstLineChars="200"/>
        <w:jc w:val="center"/>
        <w:rPr>
          <w:rFonts w:ascii="仿宋_GB2312" w:hAnsi="华文中宋" w:eastAsia="仿宋_GB2312" w:cs="宋体"/>
          <w:b/>
          <w:kern w:val="0"/>
          <w:sz w:val="52"/>
          <w:szCs w:val="52"/>
        </w:rPr>
      </w:pPr>
    </w:p>
    <w:p>
      <w:pPr>
        <w:spacing w:line="600" w:lineRule="exact"/>
        <w:ind w:firstLine="1044" w:firstLineChars="200"/>
        <w:jc w:val="center"/>
        <w:rPr>
          <w:rFonts w:ascii="仿宋_GB2312" w:hAnsi="华文中宋" w:eastAsia="仿宋_GB2312" w:cs="宋体"/>
          <w:b/>
          <w:kern w:val="0"/>
          <w:sz w:val="52"/>
          <w:szCs w:val="52"/>
        </w:rPr>
      </w:pPr>
    </w:p>
    <w:p>
      <w:pPr>
        <w:spacing w:line="60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新疆巴州和静县教育和科学技术局</w:t>
      </w:r>
    </w:p>
    <w:p>
      <w:pPr>
        <w:spacing w:line="600" w:lineRule="exact"/>
        <w:jc w:val="center"/>
        <w:rPr>
          <w:rFonts w:ascii="方正小标宋_GBK" w:hAnsi="宋体" w:eastAsia="方正小标宋_GBK"/>
          <w:sz w:val="44"/>
          <w:szCs w:val="44"/>
        </w:rPr>
      </w:pPr>
      <w:r>
        <w:rPr>
          <w:rFonts w:hint="eastAsia" w:ascii="方正小标宋_GBK" w:hAnsi="宋体" w:eastAsia="方正小标宋_GBK"/>
          <w:sz w:val="44"/>
          <w:szCs w:val="44"/>
        </w:rPr>
        <w:t>项目支出绩效自评报告</w:t>
      </w:r>
    </w:p>
    <w:p>
      <w:pPr>
        <w:spacing w:line="600" w:lineRule="exact"/>
        <w:ind w:firstLine="1044" w:firstLineChars="200"/>
        <w:jc w:val="center"/>
        <w:rPr>
          <w:rFonts w:ascii="仿宋_GB2312" w:hAnsi="华文中宋" w:eastAsia="仿宋_GB2312" w:cs="宋体"/>
          <w:b/>
          <w:kern w:val="0"/>
          <w:sz w:val="52"/>
          <w:szCs w:val="52"/>
        </w:rPr>
      </w:pPr>
    </w:p>
    <w:p>
      <w:pPr>
        <w:spacing w:line="600" w:lineRule="exact"/>
        <w:ind w:firstLine="640" w:firstLineChars="200"/>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（2018年度）</w:t>
      </w:r>
    </w:p>
    <w:p>
      <w:pPr>
        <w:spacing w:line="600" w:lineRule="exact"/>
        <w:ind w:firstLine="640" w:firstLineChars="200"/>
        <w:jc w:val="center"/>
        <w:rPr>
          <w:rFonts w:ascii="仿宋_GB2312" w:hAnsi="宋体" w:eastAsia="仿宋_GB2312" w:cs="宋体"/>
          <w:kern w:val="0"/>
          <w:sz w:val="32"/>
          <w:szCs w:val="32"/>
        </w:rPr>
      </w:pPr>
    </w:p>
    <w:p>
      <w:pPr>
        <w:spacing w:line="600" w:lineRule="exact"/>
        <w:ind w:firstLine="640" w:firstLineChars="200"/>
        <w:jc w:val="center"/>
        <w:rPr>
          <w:rFonts w:ascii="仿宋_GB2312" w:hAnsi="宋体" w:eastAsia="仿宋_GB2312" w:cs="宋体"/>
          <w:kern w:val="0"/>
          <w:sz w:val="32"/>
          <w:szCs w:val="32"/>
        </w:rPr>
      </w:pPr>
    </w:p>
    <w:p>
      <w:pPr>
        <w:spacing w:line="600" w:lineRule="exact"/>
        <w:ind w:firstLine="640" w:firstLineChars="200"/>
        <w:jc w:val="center"/>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bookmarkStart w:id="0" w:name="_GoBack"/>
      <w:bookmarkEnd w:id="0"/>
    </w:p>
    <w:p>
      <w:pPr>
        <w:spacing w:line="60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项目名称：色素辣椒颗粒加工升级改造</w:t>
      </w:r>
    </w:p>
    <w:p>
      <w:pPr>
        <w:spacing w:line="60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实施单位（公章）：和静浩圆农产品专业合作社</w:t>
      </w:r>
    </w:p>
    <w:p>
      <w:pPr>
        <w:spacing w:line="60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主管部门（公章）：和静县教育和科学技术局</w:t>
      </w:r>
    </w:p>
    <w:p>
      <w:pPr>
        <w:spacing w:line="60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项目负责人（签章）：陈明伟</w:t>
      </w:r>
    </w:p>
    <w:p>
      <w:pPr>
        <w:spacing w:line="60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填报时间：2018年12月8日</w:t>
      </w:r>
    </w:p>
    <w:p>
      <w:pPr>
        <w:spacing w:line="600" w:lineRule="exact"/>
        <w:ind w:firstLine="200"/>
        <w:rPr>
          <w:rStyle w:val="18"/>
          <w:rFonts w:ascii="仿宋_GB2312" w:hAnsi="黑体" w:eastAsia="仿宋_GB2312"/>
          <w:b w:val="0"/>
          <w:spacing w:val="-4"/>
          <w:sz w:val="32"/>
          <w:szCs w:val="32"/>
        </w:rPr>
      </w:pPr>
    </w:p>
    <w:p>
      <w:pPr>
        <w:spacing w:line="60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600" w:lineRule="exact"/>
        <w:ind w:firstLine="627" w:firstLineChars="200"/>
        <w:rPr>
          <w:rStyle w:val="18"/>
          <w:rFonts w:ascii="楷体_GB2312" w:hAnsi="楷体" w:eastAsia="楷体_GB2312"/>
          <w:spacing w:val="-4"/>
          <w:sz w:val="32"/>
          <w:szCs w:val="32"/>
        </w:rPr>
      </w:pPr>
      <w:r>
        <w:rPr>
          <w:rStyle w:val="18"/>
          <w:rFonts w:hint="eastAsia" w:ascii="楷体_GB2312" w:hAnsi="楷体" w:eastAsia="楷体_GB2312"/>
          <w:spacing w:val="-4"/>
          <w:sz w:val="32"/>
          <w:szCs w:val="32"/>
        </w:rPr>
        <w:t>（一）项目单位基本情况</w:t>
      </w:r>
    </w:p>
    <w:p>
      <w:pPr>
        <w:spacing w:line="600" w:lineRule="exact"/>
        <w:ind w:firstLine="624" w:firstLineChars="200"/>
        <w:rPr>
          <w:rStyle w:val="18"/>
          <w:rFonts w:ascii="仿宋_GB2312" w:hAnsi="楷体" w:eastAsia="仿宋_GB2312"/>
          <w:b w:val="0"/>
          <w:spacing w:val="-4"/>
          <w:sz w:val="32"/>
          <w:szCs w:val="32"/>
        </w:rPr>
      </w:pPr>
      <w:r>
        <w:rPr>
          <w:rStyle w:val="18"/>
          <w:rFonts w:hint="eastAsia" w:ascii="仿宋_GB2312" w:hAnsi="楷体" w:eastAsia="仿宋_GB2312"/>
          <w:b w:val="0"/>
          <w:spacing w:val="-4"/>
          <w:sz w:val="32"/>
          <w:szCs w:val="32"/>
        </w:rPr>
        <w:t>和静浩圆农产品专业合作社位于巴润哈尔莫敦镇工业园区，地处218国道622公里处，交通便利，电力、通讯等基础设施完善。于2011年5月在工商部门注册成立，经过全体社员6年多的努力拼搏，合作社由小到大，由弱到强，注册资金由成立之初的30万元增加到800万元，入社社员由原来的5人增加到101人，其中维吾尔族61人、汉族37人、蒙古族3人，少数民族社员64人，占社员总数的63.4%，其中贫困户社员6人，农民社员为94人占93%，是目前和静县农民专业合作社中少数民族社员较多的合作社之一。近几年在各级政府和相关部门的大力支持帮助下，合作社得到了较快的发展，合作社立足当地丰富的加工辣椒和工业番茄资源，累计投入600余万元建成色素辣椒加工厂房1200平米，其中2017年新扩建厂房400平米，2018年从河北新引进辣椒加工设备一套，加工能力比成立之初扩大了四倍多。除此之外，合作社已建成占地100多亩的双层日晒番茄干晾晒网，拥有成套番茄清洗筛选机，是一家以加工辣椒、工业番茄种植、收购、加工、销售为一体的农产品加工合作社。2018年加工色素辣椒颗粒3000吨，带动社员及当地辣椒种植面积1万亩，实现产值3600万元，利润120万元，临时转移农民工30人，人均月收入4000元，人均务工四个半月，人均增收1.8万元，带动农民增收54万元；收购工业番茄4000吨，加工日晒番茄干180吨，带动工业番茄种植面积500亩，实现产值288万元，利润50万元，临时转移农民工180人次，人均月收入3000元，人均务工45天，人均增收0.45万元，带动农民增收81万元，其中帮扶6户贫困户实现人均增收1.5万元。由于运作规范，示范带动作用强，合作社2013年-2015年连续3年被评为和静县“一星级、二星级和四星级”示范社，2015年被评为自治区农民专业合作社示范社，2016年被评为国家级农民专业合作社示范社，2016年被评为自治区“短平快”项目促就业优秀企业，2016-2017年连续两年被和静县农业局评为“优秀新型经营主体带头人”。</w:t>
      </w:r>
    </w:p>
    <w:p>
      <w:pPr>
        <w:spacing w:line="600" w:lineRule="exact"/>
        <w:ind w:firstLine="627" w:firstLineChars="200"/>
        <w:rPr>
          <w:rStyle w:val="18"/>
          <w:rFonts w:ascii="楷体_GB2312" w:hAnsi="楷体" w:eastAsia="楷体_GB2312"/>
          <w:spacing w:val="-4"/>
          <w:sz w:val="32"/>
          <w:szCs w:val="32"/>
        </w:rPr>
      </w:pPr>
      <w:r>
        <w:rPr>
          <w:rStyle w:val="18"/>
          <w:rFonts w:hint="eastAsia" w:ascii="楷体_GB2312" w:hAnsi="楷体" w:eastAsia="楷体_GB2312"/>
          <w:spacing w:val="-4"/>
          <w:sz w:val="32"/>
          <w:szCs w:val="32"/>
        </w:rPr>
        <w:t>（二）项目预算绩效目标设定情况</w:t>
      </w:r>
    </w:p>
    <w:p>
      <w:pPr>
        <w:spacing w:line="600" w:lineRule="exact"/>
        <w:ind w:firstLine="624" w:firstLineChars="200"/>
        <w:rPr>
          <w:rStyle w:val="18"/>
          <w:rFonts w:ascii="仿宋_GB2312" w:hAnsi="仿宋" w:eastAsia="仿宋_GB2312"/>
          <w:b w:val="0"/>
          <w:spacing w:val="-4"/>
          <w:sz w:val="32"/>
          <w:szCs w:val="32"/>
        </w:rPr>
      </w:pPr>
      <w:r>
        <w:rPr>
          <w:rStyle w:val="18"/>
          <w:rFonts w:hint="eastAsia" w:ascii="仿宋_GB2312" w:hAnsi="仿宋" w:eastAsia="仿宋_GB2312"/>
          <w:b w:val="0"/>
          <w:spacing w:val="-4"/>
          <w:sz w:val="32"/>
          <w:szCs w:val="32"/>
        </w:rPr>
        <w:t>为了进一步提高色素辣椒产品的附加值，合作社依托当地丰富的色素辣椒资源，引进工艺先进节能环保的前后绞龙提升机3台套、闭风器4台及其它配套辣椒颗粒加工设备，对原有的生产工艺进行改造升级，提高经济效益，降低能耗，提高产能，生产加工色素辣椒颗粒由原来的1500吨扩大到3000吨，带动农户辣椒种植面积1万亩，通过色素辣椒颗粒加工</w:t>
      </w:r>
      <w:r>
        <w:rPr>
          <w:rStyle w:val="18"/>
          <w:rFonts w:hint="eastAsia" w:ascii="仿宋_GB2312" w:hAnsi="楷体" w:eastAsia="仿宋_GB2312"/>
          <w:b w:val="0"/>
          <w:spacing w:val="-4"/>
          <w:sz w:val="32"/>
          <w:szCs w:val="32"/>
        </w:rPr>
        <w:t>实现产值3600万元，利润120万元，临时安置转移农民工30人，人均月收入4000元，人均务工四个半月，人均增收1.8万元，带动农民增收54万元</w:t>
      </w:r>
      <w:r>
        <w:rPr>
          <w:rStyle w:val="18"/>
          <w:rFonts w:hint="eastAsia" w:ascii="仿宋_GB2312" w:hAnsi="仿宋" w:eastAsia="仿宋_GB2312"/>
          <w:b w:val="0"/>
          <w:spacing w:val="-4"/>
          <w:sz w:val="32"/>
          <w:szCs w:val="32"/>
        </w:rPr>
        <w:t>。</w:t>
      </w:r>
    </w:p>
    <w:p>
      <w:pPr>
        <w:spacing w:line="60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600" w:lineRule="exact"/>
        <w:ind w:firstLine="627" w:firstLineChars="200"/>
        <w:rPr>
          <w:rStyle w:val="18"/>
          <w:rFonts w:ascii="楷体_GB2312" w:hAnsi="楷体" w:eastAsia="楷体_GB2312"/>
          <w:spacing w:val="-4"/>
          <w:sz w:val="32"/>
          <w:szCs w:val="32"/>
        </w:rPr>
      </w:pPr>
      <w:r>
        <w:rPr>
          <w:rStyle w:val="18"/>
          <w:rFonts w:hint="eastAsia" w:ascii="楷体_GB2312" w:hAnsi="楷体" w:eastAsia="楷体_GB2312"/>
          <w:spacing w:val="-4"/>
          <w:sz w:val="32"/>
          <w:szCs w:val="32"/>
        </w:rPr>
        <w:t>（一）项目资金安排落实、总投入等情况分析</w:t>
      </w:r>
    </w:p>
    <w:p>
      <w:pPr>
        <w:spacing w:line="600" w:lineRule="exact"/>
        <w:ind w:firstLine="624" w:firstLineChars="200"/>
        <w:rPr>
          <w:rStyle w:val="18"/>
          <w:rFonts w:ascii="仿宋_GB2312" w:hAnsi="仿宋" w:eastAsia="仿宋_GB2312"/>
          <w:b w:val="0"/>
          <w:spacing w:val="-4"/>
          <w:sz w:val="32"/>
          <w:szCs w:val="32"/>
        </w:rPr>
      </w:pPr>
      <w:r>
        <w:rPr>
          <w:rStyle w:val="18"/>
          <w:rFonts w:hint="eastAsia" w:ascii="仿宋_GB2312" w:hAnsi="仿宋" w:eastAsia="仿宋_GB2312"/>
          <w:b w:val="0"/>
          <w:spacing w:val="-4"/>
          <w:sz w:val="32"/>
          <w:szCs w:val="32"/>
        </w:rPr>
        <w:t>本项目资金总投入30万元，购买前后绞龙提升机3台套，闭风器4台，其中自筹资金20万元，项目资金10万元。</w:t>
      </w:r>
    </w:p>
    <w:p>
      <w:pPr>
        <w:spacing w:line="600" w:lineRule="exact"/>
        <w:ind w:firstLine="627" w:firstLineChars="200"/>
        <w:rPr>
          <w:rStyle w:val="18"/>
          <w:rFonts w:ascii="楷体_GB2312" w:hAnsi="楷体" w:eastAsia="楷体_GB2312"/>
          <w:spacing w:val="-4"/>
          <w:sz w:val="32"/>
          <w:szCs w:val="32"/>
        </w:rPr>
      </w:pPr>
      <w:r>
        <w:rPr>
          <w:rStyle w:val="18"/>
          <w:rFonts w:hint="eastAsia" w:ascii="楷体_GB2312" w:hAnsi="楷体" w:eastAsia="楷体_GB2312"/>
          <w:spacing w:val="-4"/>
          <w:sz w:val="32"/>
          <w:szCs w:val="32"/>
        </w:rPr>
        <w:t>（二）项目资金实际使用情况分析</w:t>
      </w:r>
    </w:p>
    <w:p>
      <w:pPr>
        <w:spacing w:line="600" w:lineRule="exact"/>
        <w:ind w:firstLine="624" w:firstLineChars="200"/>
        <w:rPr>
          <w:rStyle w:val="18"/>
          <w:rFonts w:ascii="仿宋_GB2312" w:hAnsi="仿宋" w:eastAsia="仿宋_GB2312"/>
          <w:b w:val="0"/>
          <w:spacing w:val="-4"/>
          <w:sz w:val="32"/>
          <w:szCs w:val="32"/>
        </w:rPr>
      </w:pPr>
      <w:r>
        <w:rPr>
          <w:rStyle w:val="18"/>
          <w:rFonts w:hint="eastAsia" w:ascii="仿宋_GB2312" w:hAnsi="仿宋" w:eastAsia="仿宋_GB2312"/>
          <w:b w:val="0"/>
          <w:spacing w:val="-4"/>
          <w:sz w:val="32"/>
          <w:szCs w:val="32"/>
        </w:rPr>
        <w:t xml:space="preserve"> 项目资金10万元主要用于购买前后绞龙提升机和闭风器。</w:t>
      </w:r>
    </w:p>
    <w:p>
      <w:pPr>
        <w:spacing w:line="600" w:lineRule="exact"/>
        <w:ind w:firstLine="627" w:firstLineChars="200"/>
        <w:rPr>
          <w:rStyle w:val="18"/>
          <w:rFonts w:ascii="楷体_GB2312" w:hAnsi="楷体" w:eastAsia="楷体_GB2312"/>
          <w:spacing w:val="-4"/>
          <w:sz w:val="32"/>
          <w:szCs w:val="32"/>
        </w:rPr>
      </w:pPr>
      <w:r>
        <w:rPr>
          <w:rStyle w:val="18"/>
          <w:rFonts w:hint="eastAsia" w:ascii="楷体_GB2312" w:hAnsi="楷体" w:eastAsia="楷体_GB2312"/>
          <w:spacing w:val="-4"/>
          <w:sz w:val="32"/>
          <w:szCs w:val="32"/>
        </w:rPr>
        <w:t>（三）项目资金管理情况分析</w:t>
      </w:r>
    </w:p>
    <w:p>
      <w:pPr>
        <w:spacing w:line="600" w:lineRule="exact"/>
        <w:ind w:firstLine="624" w:firstLineChars="200"/>
        <w:rPr>
          <w:rStyle w:val="18"/>
          <w:rFonts w:ascii="仿宋_GB2312" w:hAnsi="仿宋" w:eastAsia="仿宋_GB2312"/>
          <w:b w:val="0"/>
          <w:spacing w:val="-4"/>
          <w:sz w:val="32"/>
          <w:szCs w:val="32"/>
        </w:rPr>
      </w:pPr>
      <w:r>
        <w:rPr>
          <w:rStyle w:val="18"/>
          <w:rFonts w:hint="eastAsia" w:ascii="仿宋_GB2312" w:hAnsi="仿宋" w:eastAsia="仿宋_GB2312"/>
          <w:b w:val="0"/>
          <w:spacing w:val="-4"/>
          <w:sz w:val="32"/>
          <w:szCs w:val="32"/>
        </w:rPr>
        <w:t>1、明确目标责任，认真执行《农民专业合作社章程》，制定目标管理责任制度，明确具体工作职责，制定项目建设实施方案，分阶段、分步骤地完成各项建设任务。</w:t>
      </w:r>
    </w:p>
    <w:p>
      <w:pPr>
        <w:spacing w:line="600" w:lineRule="exact"/>
        <w:ind w:firstLine="624" w:firstLineChars="200"/>
        <w:rPr>
          <w:rStyle w:val="18"/>
          <w:rFonts w:ascii="仿宋_GB2312" w:hAnsi="仿宋" w:eastAsia="仿宋_GB2312"/>
          <w:b w:val="0"/>
          <w:spacing w:val="-4"/>
          <w:sz w:val="32"/>
          <w:szCs w:val="32"/>
        </w:rPr>
      </w:pPr>
      <w:r>
        <w:rPr>
          <w:rStyle w:val="18"/>
          <w:rFonts w:hint="eastAsia" w:ascii="仿宋_GB2312" w:hAnsi="仿宋" w:eastAsia="仿宋_GB2312"/>
          <w:b w:val="0"/>
          <w:spacing w:val="-4"/>
          <w:sz w:val="32"/>
          <w:szCs w:val="32"/>
        </w:rPr>
        <w:t>2、加强财务管理，认真执行《农民专业合作社财务会计制度》，做到财务公开、单独建账、全程监管，项目建设过程中严格按照实施方案和资金用途确保质量，发挥项目资金的最大效益。</w:t>
      </w:r>
    </w:p>
    <w:p>
      <w:pPr>
        <w:spacing w:line="60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600" w:lineRule="exact"/>
        <w:ind w:firstLine="627" w:firstLineChars="200"/>
        <w:rPr>
          <w:rStyle w:val="18"/>
          <w:rFonts w:ascii="楷体_GB2312" w:hAnsi="楷体" w:eastAsia="楷体_GB2312"/>
          <w:spacing w:val="-4"/>
          <w:sz w:val="32"/>
          <w:szCs w:val="32"/>
        </w:rPr>
      </w:pPr>
      <w:r>
        <w:rPr>
          <w:rStyle w:val="18"/>
          <w:rFonts w:hint="eastAsia" w:ascii="楷体_GB2312" w:hAnsi="楷体" w:eastAsia="楷体_GB2312"/>
          <w:spacing w:val="-4"/>
          <w:sz w:val="32"/>
          <w:szCs w:val="32"/>
        </w:rPr>
        <w:t>（一）项目组织情况分析</w:t>
      </w:r>
    </w:p>
    <w:p>
      <w:pPr>
        <w:spacing w:line="600" w:lineRule="exact"/>
        <w:ind w:firstLine="624" w:firstLineChars="200"/>
        <w:rPr>
          <w:rStyle w:val="18"/>
          <w:rFonts w:ascii="仿宋_GB2312" w:hAnsi="仿宋" w:eastAsia="仿宋_GB2312"/>
          <w:b w:val="0"/>
          <w:spacing w:val="-4"/>
          <w:sz w:val="32"/>
          <w:szCs w:val="32"/>
        </w:rPr>
      </w:pPr>
      <w:r>
        <w:rPr>
          <w:rStyle w:val="18"/>
          <w:rFonts w:hint="eastAsia" w:ascii="仿宋_GB2312" w:hAnsi="仿宋" w:eastAsia="仿宋_GB2312"/>
          <w:b w:val="0"/>
          <w:spacing w:val="-4"/>
          <w:sz w:val="32"/>
          <w:szCs w:val="32"/>
        </w:rPr>
        <w:t>项目设备采购主要采取询价的方式进行采购，在确保质量的前提下，以最低的价格、优质的售后服务、完善的产品三包等条件为基础，按照上报的项目计划和方案实施，没有做调整。项目完成后，和静浩圆农产品专业合作社组织合作社理事会成员、成员代表和财务人员对项目资金的使用和项目的实施情况进行了详细的自查，资金完全按照预算计划实施，项目取得了预期的目标。</w:t>
      </w:r>
    </w:p>
    <w:p>
      <w:pPr>
        <w:spacing w:line="600" w:lineRule="exact"/>
        <w:ind w:firstLine="627" w:firstLineChars="200"/>
        <w:rPr>
          <w:rStyle w:val="18"/>
          <w:rFonts w:ascii="楷体_GB2312" w:hAnsi="楷体" w:eastAsia="楷体_GB2312"/>
          <w:spacing w:val="-4"/>
          <w:sz w:val="32"/>
          <w:szCs w:val="32"/>
        </w:rPr>
      </w:pPr>
      <w:r>
        <w:rPr>
          <w:rStyle w:val="18"/>
          <w:rFonts w:hint="eastAsia" w:ascii="楷体_GB2312" w:hAnsi="楷体" w:eastAsia="楷体_GB2312"/>
          <w:spacing w:val="-4"/>
          <w:sz w:val="32"/>
          <w:szCs w:val="32"/>
        </w:rPr>
        <w:t>（二）项目管理情况分析</w:t>
      </w:r>
    </w:p>
    <w:p>
      <w:pPr>
        <w:spacing w:line="600" w:lineRule="exact"/>
        <w:ind w:firstLine="624" w:firstLineChars="200"/>
        <w:rPr>
          <w:rStyle w:val="18"/>
          <w:rFonts w:ascii="仿宋_GB2312" w:hAnsi="仿宋" w:eastAsia="仿宋_GB2312"/>
          <w:b w:val="0"/>
          <w:spacing w:val="-4"/>
          <w:sz w:val="32"/>
          <w:szCs w:val="32"/>
        </w:rPr>
      </w:pPr>
      <w:r>
        <w:rPr>
          <w:rStyle w:val="18"/>
          <w:rFonts w:hint="eastAsia" w:ascii="仿宋_GB2312" w:hAnsi="仿宋" w:eastAsia="仿宋_GB2312"/>
          <w:b w:val="0"/>
          <w:spacing w:val="-4"/>
          <w:sz w:val="32"/>
          <w:szCs w:val="32"/>
        </w:rPr>
        <w:t>为了确保项目保质保量完成，成立了合作社理事长任组长，副理事长、监事、成员代表为成员的项目建设领导小组，具体规划、组织、管理项目实施，解决项目实施中出现的问题，做到精心部署，周密安排，责任到人。合作社监事、成员代表负责做好项目的协调、监管、检查和督促工作，开展项目实地检查，做到实事求是、客观评价、不走过场，确保项目实施后达到预期效果，财务人员做好项目资金的监督管理工作。</w:t>
      </w:r>
    </w:p>
    <w:p>
      <w:pPr>
        <w:spacing w:line="600" w:lineRule="exact"/>
        <w:ind w:firstLine="624" w:firstLineChars="200"/>
        <w:rPr>
          <w:rStyle w:val="18"/>
          <w:rFonts w:ascii="黑体" w:hAnsi="黑体" w:eastAsia="黑体"/>
          <w:b w:val="0"/>
          <w:sz w:val="32"/>
          <w:szCs w:val="32"/>
        </w:rPr>
      </w:pPr>
      <w:r>
        <w:rPr>
          <w:rStyle w:val="18"/>
          <w:rFonts w:hint="eastAsia" w:ascii="黑体" w:hAnsi="黑体" w:eastAsia="黑体"/>
          <w:b w:val="0"/>
          <w:spacing w:val="-4"/>
          <w:sz w:val="32"/>
          <w:szCs w:val="32"/>
        </w:rPr>
        <w:t>四、项目绩效目标完成情况</w:t>
      </w:r>
    </w:p>
    <w:p>
      <w:pPr>
        <w:spacing w:line="600" w:lineRule="exact"/>
        <w:ind w:firstLine="624" w:firstLineChars="200"/>
        <w:rPr>
          <w:rStyle w:val="18"/>
          <w:rFonts w:ascii="仿宋_GB2312" w:hAnsi="仿宋" w:eastAsia="仿宋_GB2312"/>
          <w:b w:val="0"/>
          <w:spacing w:val="-4"/>
          <w:sz w:val="32"/>
          <w:szCs w:val="32"/>
        </w:rPr>
      </w:pPr>
      <w:r>
        <w:rPr>
          <w:rStyle w:val="18"/>
          <w:rFonts w:hint="eastAsia" w:ascii="仿宋_GB2312" w:hAnsi="仿宋" w:eastAsia="仿宋_GB2312"/>
          <w:b w:val="0"/>
          <w:spacing w:val="-4"/>
          <w:sz w:val="32"/>
          <w:szCs w:val="32"/>
        </w:rPr>
        <w:t>1、项目实施的经济性分析：引进工艺先进节能环保的前后绞龙提升机、闭风器等辣椒颗粒加工设备，提高了经济效益，降低了能耗，提高了产能，生产加工规模由原来的1500吨增加到3000吨，实现销售收入3600万元，利润120万元，完成了预期目标。</w:t>
      </w:r>
    </w:p>
    <w:p>
      <w:pPr>
        <w:spacing w:line="600" w:lineRule="exact"/>
        <w:ind w:firstLine="624" w:firstLineChars="200"/>
        <w:rPr>
          <w:rStyle w:val="18"/>
          <w:rFonts w:ascii="仿宋_GB2312" w:hAnsi="仿宋" w:eastAsia="仿宋_GB2312"/>
          <w:b w:val="0"/>
          <w:spacing w:val="-4"/>
          <w:sz w:val="32"/>
          <w:szCs w:val="32"/>
        </w:rPr>
      </w:pPr>
      <w:r>
        <w:rPr>
          <w:rStyle w:val="18"/>
          <w:rFonts w:hint="eastAsia" w:ascii="仿宋_GB2312" w:hAnsi="仿宋" w:eastAsia="仿宋_GB2312"/>
          <w:b w:val="0"/>
          <w:spacing w:val="-4"/>
          <w:sz w:val="32"/>
          <w:szCs w:val="32"/>
        </w:rPr>
        <w:t>（2）项目实施的社会效益分析：本项目的实施，</w:t>
      </w:r>
      <w:r>
        <w:rPr>
          <w:rStyle w:val="18"/>
          <w:rFonts w:hint="eastAsia" w:ascii="仿宋_GB2312" w:hAnsi="楷体" w:eastAsia="仿宋_GB2312"/>
          <w:b w:val="0"/>
          <w:spacing w:val="-4"/>
          <w:sz w:val="32"/>
          <w:szCs w:val="32"/>
        </w:rPr>
        <w:t>临时安置转移农民工30人，人均月收入4000元，人均务工四个半月，人均增收1.8万元，带动农民增收54万元</w:t>
      </w:r>
      <w:r>
        <w:rPr>
          <w:rStyle w:val="18"/>
          <w:rFonts w:hint="eastAsia" w:ascii="仿宋_GB2312" w:hAnsi="仿宋" w:eastAsia="仿宋_GB2312"/>
          <w:b w:val="0"/>
          <w:spacing w:val="-4"/>
          <w:sz w:val="32"/>
          <w:szCs w:val="32"/>
        </w:rPr>
        <w:t>。带动当地辣椒基地1万亩，实现每亩增收500元，带动农民增收500万元，社会效益显著。本项目通过引进先进设备和工艺，生产效率大幅度提高，节约用工4个劳动力，节省工钱7.2万元，用电能耗大幅度降低，每天节约用电1210千瓦时，辣椒加工期节约用电14.52千瓦时，节约电费8.2万元。</w:t>
      </w:r>
    </w:p>
    <w:p>
      <w:pPr>
        <w:spacing w:line="600" w:lineRule="exact"/>
        <w:ind w:firstLine="624" w:firstLineChars="200"/>
        <w:rPr>
          <w:rStyle w:val="18"/>
          <w:rFonts w:ascii="仿宋_GB2312" w:hAnsi="仿宋" w:eastAsia="仿宋_GB2312"/>
          <w:b w:val="0"/>
          <w:spacing w:val="-4"/>
          <w:sz w:val="32"/>
          <w:szCs w:val="32"/>
        </w:rPr>
      </w:pPr>
      <w:r>
        <w:rPr>
          <w:rStyle w:val="18"/>
          <w:rFonts w:hint="eastAsia" w:ascii="仿宋_GB2312" w:hAnsi="仿宋" w:eastAsia="仿宋_GB2312"/>
          <w:b w:val="0"/>
          <w:spacing w:val="-4"/>
          <w:sz w:val="32"/>
          <w:szCs w:val="32"/>
        </w:rPr>
        <w:t>（3）项目实施的生态效益分析：本项目在辣椒加工过程中，不添加任何化学药剂和添加剂，工艺流程基本为全封闭，不会对环境造成任何污染，为环保型企业。</w:t>
      </w:r>
    </w:p>
    <w:p>
      <w:pPr>
        <w:spacing w:line="600" w:lineRule="exact"/>
        <w:ind w:firstLine="624" w:firstLineChars="200"/>
        <w:rPr>
          <w:rStyle w:val="18"/>
          <w:rFonts w:ascii="仿宋_GB2312" w:hAnsi="仿宋" w:eastAsia="仿宋_GB2312"/>
          <w:b w:val="0"/>
          <w:spacing w:val="-4"/>
          <w:sz w:val="32"/>
          <w:szCs w:val="32"/>
        </w:rPr>
      </w:pPr>
      <w:r>
        <w:rPr>
          <w:rStyle w:val="18"/>
          <w:rFonts w:hint="eastAsia" w:ascii="仿宋_GB2312" w:hAnsi="仿宋" w:eastAsia="仿宋_GB2312"/>
          <w:b w:val="0"/>
          <w:spacing w:val="-4"/>
          <w:sz w:val="32"/>
          <w:szCs w:val="32"/>
        </w:rPr>
        <w:t>（4）项目实施的可持续影响分析：本项目通过“合作社+基地+农户+订单”的规模化种植、加工、销售的产业化经营模式，延伸了辣椒产业链，进一步提高了附加值，吸纳了大量当地劳动力就业。因此本项目的实施具有重要的现实意义和深远的历史意义，能够实现资源的高效利用，降低能耗，节本增效，具有显著的经济效益和社会效益，在县域内具有很强的示范带动作用，该项目具有广阔的市场前景和推广价值。</w:t>
      </w:r>
    </w:p>
    <w:p>
      <w:pPr>
        <w:spacing w:line="600" w:lineRule="exact"/>
        <w:ind w:firstLine="624" w:firstLineChars="200"/>
        <w:rPr>
          <w:rStyle w:val="18"/>
          <w:rFonts w:ascii="仿宋_GB2312" w:hAnsi="仿宋" w:eastAsia="仿宋_GB2312"/>
          <w:b w:val="0"/>
          <w:spacing w:val="-4"/>
          <w:sz w:val="32"/>
          <w:szCs w:val="32"/>
        </w:rPr>
      </w:pPr>
      <w:r>
        <w:rPr>
          <w:rStyle w:val="18"/>
          <w:rFonts w:hint="eastAsia" w:ascii="仿宋_GB2312" w:hAnsi="仿宋" w:eastAsia="仿宋_GB2312"/>
          <w:b w:val="0"/>
          <w:spacing w:val="-4"/>
          <w:sz w:val="32"/>
          <w:szCs w:val="32"/>
        </w:rPr>
        <w:t>3.满意度指标完成情况分析：本项目基本完成了预期目标，加工规模、销售收入、利润、转移劳动力等各项指标均完成了目标任务。</w:t>
      </w:r>
    </w:p>
    <w:p>
      <w:pPr>
        <w:spacing w:line="600" w:lineRule="exact"/>
        <w:ind w:firstLine="624" w:firstLineChars="200"/>
        <w:rPr>
          <w:rFonts w:ascii="黑体" w:hAnsi="黑体" w:eastAsia="黑体"/>
          <w:b/>
          <w:bCs/>
          <w:spacing w:val="-4"/>
          <w:sz w:val="32"/>
          <w:szCs w:val="32"/>
        </w:rPr>
      </w:pPr>
      <w:r>
        <w:rPr>
          <w:rStyle w:val="18"/>
          <w:rFonts w:hint="eastAsia" w:ascii="黑体" w:hAnsi="黑体" w:eastAsia="黑体"/>
          <w:b w:val="0"/>
          <w:spacing w:val="-4"/>
          <w:sz w:val="32"/>
          <w:szCs w:val="32"/>
        </w:rPr>
        <w:t>五、</w:t>
      </w:r>
      <w:r>
        <w:rPr>
          <w:rFonts w:hint="eastAsia" w:ascii="黑体" w:hAnsi="黑体" w:eastAsia="黑体"/>
          <w:b/>
          <w:spacing w:val="-4"/>
          <w:sz w:val="32"/>
          <w:szCs w:val="32"/>
        </w:rPr>
        <w:t>主要经验及做法、存在问题和建议</w:t>
      </w:r>
    </w:p>
    <w:p>
      <w:pPr>
        <w:spacing w:line="600" w:lineRule="exact"/>
        <w:ind w:firstLine="624" w:firstLineChars="200"/>
        <w:rPr>
          <w:rFonts w:ascii="仿宋_GB2312" w:eastAsia="仿宋_GB2312"/>
          <w:spacing w:val="-4"/>
          <w:sz w:val="32"/>
          <w:szCs w:val="32"/>
        </w:rPr>
      </w:pPr>
      <w:r>
        <w:rPr>
          <w:rFonts w:hint="eastAsia" w:ascii="仿宋_GB2312" w:eastAsia="仿宋_GB2312"/>
          <w:spacing w:val="-4"/>
          <w:sz w:val="32"/>
          <w:szCs w:val="32"/>
        </w:rPr>
        <w:t>项目实施前制定了完善的项目管理制度、实施方案和考核目标，实施过程中做到公开透明，严格按照项目实施方案开展绩效自评工作，不走过程，实事求是、严格把关。由于原料收购、产品销售、人工工资等因素受市场影响和制约波动较大，容易导致项目的预期目标产量和经济效益不能如期完成。建议重点加强对资金的监管，确保专款专用。</w:t>
      </w:r>
    </w:p>
    <w:p>
      <w:pPr>
        <w:spacing w:line="60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spacing w:line="600" w:lineRule="exact"/>
        <w:ind w:firstLine="624" w:firstLineChars="200"/>
        <w:rPr>
          <w:rFonts w:ascii="仿宋_GB2312" w:eastAsia="仿宋_GB2312"/>
          <w:spacing w:val="-4"/>
          <w:sz w:val="32"/>
          <w:szCs w:val="32"/>
        </w:rPr>
      </w:pPr>
      <w:r>
        <w:rPr>
          <w:rFonts w:hint="eastAsia" w:ascii="仿宋_GB2312" w:eastAsia="仿宋_GB2312"/>
          <w:spacing w:val="-4"/>
          <w:sz w:val="32"/>
          <w:szCs w:val="32"/>
        </w:rPr>
        <w:t>首先，对本次自评工作思想上高度重视，能够认真对待、实事求是，严格财务管理、规范财务支出，不存在截留、挪用、套取资金的情况，项目完成情况达到了预期目标，取得了明显的经济效益、社会效益。</w:t>
      </w:r>
    </w:p>
    <w:p>
      <w:pPr>
        <w:spacing w:line="600" w:lineRule="exact"/>
        <w:ind w:firstLine="624" w:firstLineChars="200"/>
        <w:rPr>
          <w:rFonts w:ascii="仿宋_GB2312" w:eastAsia="仿宋_GB2312"/>
          <w:spacing w:val="-4"/>
          <w:sz w:val="32"/>
          <w:szCs w:val="32"/>
        </w:rPr>
      </w:pPr>
      <w:r>
        <w:rPr>
          <w:rFonts w:hint="eastAsia" w:ascii="仿宋_GB2312" w:eastAsia="仿宋_GB2312"/>
          <w:spacing w:val="-4"/>
          <w:sz w:val="32"/>
          <w:szCs w:val="32"/>
        </w:rPr>
        <w:t>本项目的实施带动了和静县辣椒产业的发展和农村劳动力就近就地转移就业，实现了“合作社+基地+农户+订单”的规模化种植、加工、销售的产业化经营模式。为我县辣椒产业的发展发挥了一定的示范作用，本项目财务管理规范，项目建设过程中严格按照实施方案和资金用途开展工作，确保了项目的进度和质量，发挥了项目资金的最大效益。</w:t>
      </w:r>
    </w:p>
    <w:p>
      <w:pPr>
        <w:spacing w:line="60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600" w:lineRule="exact"/>
        <w:ind w:firstLine="624" w:firstLineChars="200"/>
        <w:rPr>
          <w:rStyle w:val="18"/>
          <w:rFonts w:ascii="仿宋_GB2312" w:hAnsi="仿宋" w:eastAsia="仿宋_GB2312"/>
          <w:b w:val="0"/>
          <w:spacing w:val="-4"/>
          <w:sz w:val="32"/>
          <w:szCs w:val="32"/>
        </w:rPr>
      </w:pPr>
      <w:r>
        <w:rPr>
          <w:rStyle w:val="18"/>
          <w:rFonts w:hint="eastAsia" w:ascii="仿宋_GB2312" w:hAnsi="仿宋" w:eastAsia="仿宋_GB2312"/>
          <w:b w:val="0"/>
          <w:spacing w:val="-4"/>
          <w:sz w:val="32"/>
          <w:szCs w:val="32"/>
        </w:rPr>
        <w:t>《和静县财政项目支出绩效自评表》</w:t>
      </w:r>
    </w:p>
    <w:p>
      <w:pPr>
        <w:spacing w:line="600" w:lineRule="exact"/>
        <w:ind w:firstLine="624" w:firstLineChars="200"/>
        <w:rPr>
          <w:rStyle w:val="18"/>
          <w:rFonts w:ascii="仿宋_GB2312" w:hAnsi="黑体" w:eastAsia="仿宋_GB2312"/>
          <w:b w:val="0"/>
          <w:spacing w:val="-4"/>
          <w:sz w:val="32"/>
          <w:szCs w:val="32"/>
        </w:rPr>
      </w:pPr>
    </w:p>
    <w:p>
      <w:pPr>
        <w:spacing w:line="600" w:lineRule="exact"/>
        <w:ind w:firstLine="624" w:firstLineChars="200"/>
        <w:rPr>
          <w:rStyle w:val="18"/>
          <w:rFonts w:ascii="仿宋_GB2312" w:hAnsi="黑体" w:eastAsia="仿宋_GB2312"/>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华文中宋">
    <w:altName w:val="宋体"/>
    <w:panose1 w:val="00000000000000000000"/>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fldChar w:fldCharType="begin"/>
    </w:r>
    <w:r>
      <w:instrText xml:space="preserve">PAGE   \* MERGEFORMAT</w:instrText>
    </w:r>
    <w:r>
      <w:fldChar w:fldCharType="separate"/>
    </w:r>
    <w:r>
      <w:rPr>
        <w:lang w:val="zh-CN"/>
      </w:rPr>
      <w:t>1</w:t>
    </w:r>
    <w:r>
      <w:rPr>
        <w:lang w:val="zh-CN"/>
      </w:rPr>
      <w:fldChar w:fldCharType="end"/>
    </w:r>
  </w:p>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202AE"/>
    <w:rsid w:val="00056465"/>
    <w:rsid w:val="000734AE"/>
    <w:rsid w:val="000850AA"/>
    <w:rsid w:val="000B42C8"/>
    <w:rsid w:val="00113EB5"/>
    <w:rsid w:val="00121AE4"/>
    <w:rsid w:val="00146AAD"/>
    <w:rsid w:val="00177258"/>
    <w:rsid w:val="001B3A40"/>
    <w:rsid w:val="001F3C62"/>
    <w:rsid w:val="001F7B40"/>
    <w:rsid w:val="00252029"/>
    <w:rsid w:val="002574E5"/>
    <w:rsid w:val="00294B3F"/>
    <w:rsid w:val="00294F37"/>
    <w:rsid w:val="002D3A10"/>
    <w:rsid w:val="002E590A"/>
    <w:rsid w:val="00312A49"/>
    <w:rsid w:val="003908B7"/>
    <w:rsid w:val="003D12BF"/>
    <w:rsid w:val="003D43B5"/>
    <w:rsid w:val="004366A8"/>
    <w:rsid w:val="0045087A"/>
    <w:rsid w:val="00467A43"/>
    <w:rsid w:val="00493B5B"/>
    <w:rsid w:val="00502BA7"/>
    <w:rsid w:val="005162F1"/>
    <w:rsid w:val="00516628"/>
    <w:rsid w:val="00535153"/>
    <w:rsid w:val="00554F82"/>
    <w:rsid w:val="00557407"/>
    <w:rsid w:val="0056390D"/>
    <w:rsid w:val="005719B0"/>
    <w:rsid w:val="005D0BCC"/>
    <w:rsid w:val="005D10D6"/>
    <w:rsid w:val="005D1F63"/>
    <w:rsid w:val="005F6E85"/>
    <w:rsid w:val="006778B0"/>
    <w:rsid w:val="00693605"/>
    <w:rsid w:val="0069633C"/>
    <w:rsid w:val="006E6BB4"/>
    <w:rsid w:val="006F2632"/>
    <w:rsid w:val="00727095"/>
    <w:rsid w:val="00743B81"/>
    <w:rsid w:val="007D0555"/>
    <w:rsid w:val="007E4B4F"/>
    <w:rsid w:val="007F50D0"/>
    <w:rsid w:val="00855E3A"/>
    <w:rsid w:val="00857D84"/>
    <w:rsid w:val="00886256"/>
    <w:rsid w:val="009018EB"/>
    <w:rsid w:val="009059B7"/>
    <w:rsid w:val="009219A5"/>
    <w:rsid w:val="0092218D"/>
    <w:rsid w:val="00922CB9"/>
    <w:rsid w:val="0092573B"/>
    <w:rsid w:val="009564B6"/>
    <w:rsid w:val="00972BE8"/>
    <w:rsid w:val="00976ECD"/>
    <w:rsid w:val="009E5CD9"/>
    <w:rsid w:val="00A26421"/>
    <w:rsid w:val="00A4293B"/>
    <w:rsid w:val="00A51DD9"/>
    <w:rsid w:val="00A53E1F"/>
    <w:rsid w:val="00A67D50"/>
    <w:rsid w:val="00A8691A"/>
    <w:rsid w:val="00A91D33"/>
    <w:rsid w:val="00AC1946"/>
    <w:rsid w:val="00AC7966"/>
    <w:rsid w:val="00B0111C"/>
    <w:rsid w:val="00B104B3"/>
    <w:rsid w:val="00B40063"/>
    <w:rsid w:val="00B41F61"/>
    <w:rsid w:val="00B86097"/>
    <w:rsid w:val="00BA46E6"/>
    <w:rsid w:val="00C56C72"/>
    <w:rsid w:val="00CA6457"/>
    <w:rsid w:val="00D1363B"/>
    <w:rsid w:val="00D16AF4"/>
    <w:rsid w:val="00D17F2E"/>
    <w:rsid w:val="00D30354"/>
    <w:rsid w:val="00D3348D"/>
    <w:rsid w:val="00D36EDC"/>
    <w:rsid w:val="00D44C8F"/>
    <w:rsid w:val="00D565A2"/>
    <w:rsid w:val="00D57A19"/>
    <w:rsid w:val="00D82C21"/>
    <w:rsid w:val="00D926BD"/>
    <w:rsid w:val="00D95BB3"/>
    <w:rsid w:val="00DB5382"/>
    <w:rsid w:val="00DD6734"/>
    <w:rsid w:val="00DE7BC4"/>
    <w:rsid w:val="00DF42A0"/>
    <w:rsid w:val="00E00D00"/>
    <w:rsid w:val="00E12303"/>
    <w:rsid w:val="00E25D39"/>
    <w:rsid w:val="00E769FE"/>
    <w:rsid w:val="00EA2CBE"/>
    <w:rsid w:val="00F32FEE"/>
    <w:rsid w:val="00F4352E"/>
    <w:rsid w:val="00F4565D"/>
    <w:rsid w:val="00F5399F"/>
    <w:rsid w:val="00FA74B8"/>
    <w:rsid w:val="00FB10BB"/>
    <w:rsid w:val="00FB7518"/>
    <w:rsid w:val="00FE32FA"/>
    <w:rsid w:val="00FF2116"/>
    <w:rsid w:val="5CB94BA2"/>
    <w:rsid w:val="6F1F02E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unhideWhenUsed="0" w:uiPriority="99" w:semiHidden="0" w:name="header"/>
    <w:lsdException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99" w:semiHidden="0" w:name="Strong"/>
    <w:lsdException w:qFormat="1" w:unhideWhenUsed="0" w:uiPriority="99"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9"/>
    <w:pPr>
      <w:keepNext/>
      <w:widowControl/>
      <w:spacing w:before="240" w:after="60"/>
      <w:jc w:val="left"/>
      <w:outlineLvl w:val="0"/>
    </w:pPr>
    <w:rPr>
      <w:rFonts w:ascii="Cambria" w:hAnsi="Cambria"/>
      <w:b/>
      <w:bCs/>
      <w:kern w:val="32"/>
      <w:sz w:val="32"/>
      <w:szCs w:val="32"/>
    </w:rPr>
  </w:style>
  <w:style w:type="paragraph" w:styleId="3">
    <w:name w:val="heading 2"/>
    <w:basedOn w:val="1"/>
    <w:next w:val="1"/>
    <w:link w:val="21"/>
    <w:qFormat/>
    <w:uiPriority w:val="99"/>
    <w:pPr>
      <w:keepNext/>
      <w:widowControl/>
      <w:spacing w:before="240" w:after="60"/>
      <w:jc w:val="left"/>
      <w:outlineLvl w:val="1"/>
    </w:pPr>
    <w:rPr>
      <w:rFonts w:ascii="Cambria" w:hAnsi="Cambria"/>
      <w:b/>
      <w:bCs/>
      <w:i/>
      <w:iCs/>
      <w:kern w:val="0"/>
      <w:sz w:val="28"/>
      <w:szCs w:val="28"/>
    </w:rPr>
  </w:style>
  <w:style w:type="paragraph" w:styleId="4">
    <w:name w:val="heading 3"/>
    <w:basedOn w:val="1"/>
    <w:next w:val="1"/>
    <w:link w:val="22"/>
    <w:qFormat/>
    <w:uiPriority w:val="99"/>
    <w:pPr>
      <w:keepNext/>
      <w:widowControl/>
      <w:spacing w:before="240" w:after="60"/>
      <w:jc w:val="left"/>
      <w:outlineLvl w:val="2"/>
    </w:pPr>
    <w:rPr>
      <w:rFonts w:ascii="Cambria" w:hAnsi="Cambria"/>
      <w:b/>
      <w:bCs/>
      <w:kern w:val="0"/>
      <w:sz w:val="26"/>
      <w:szCs w:val="26"/>
    </w:rPr>
  </w:style>
  <w:style w:type="paragraph" w:styleId="5">
    <w:name w:val="heading 4"/>
    <w:basedOn w:val="1"/>
    <w:next w:val="1"/>
    <w:link w:val="23"/>
    <w:qFormat/>
    <w:uiPriority w:val="99"/>
    <w:pPr>
      <w:keepNext/>
      <w:widowControl/>
      <w:spacing w:before="240" w:after="60"/>
      <w:jc w:val="left"/>
      <w:outlineLvl w:val="3"/>
    </w:pPr>
    <w:rPr>
      <w:rFonts w:ascii="Calibri" w:hAnsi="Calibri"/>
      <w:b/>
      <w:bCs/>
      <w:kern w:val="0"/>
      <w:sz w:val="28"/>
      <w:szCs w:val="28"/>
    </w:rPr>
  </w:style>
  <w:style w:type="paragraph" w:styleId="6">
    <w:name w:val="heading 5"/>
    <w:basedOn w:val="1"/>
    <w:next w:val="1"/>
    <w:link w:val="24"/>
    <w:qFormat/>
    <w:uiPriority w:val="99"/>
    <w:pPr>
      <w:widowControl/>
      <w:spacing w:before="240" w:after="60"/>
      <w:jc w:val="left"/>
      <w:outlineLvl w:val="4"/>
    </w:pPr>
    <w:rPr>
      <w:rFonts w:ascii="Calibri" w:hAnsi="Calibri"/>
      <w:b/>
      <w:bCs/>
      <w:i/>
      <w:iCs/>
      <w:kern w:val="0"/>
      <w:sz w:val="26"/>
      <w:szCs w:val="26"/>
    </w:rPr>
  </w:style>
  <w:style w:type="paragraph" w:styleId="7">
    <w:name w:val="heading 6"/>
    <w:basedOn w:val="1"/>
    <w:next w:val="1"/>
    <w:link w:val="25"/>
    <w:qFormat/>
    <w:uiPriority w:val="99"/>
    <w:pPr>
      <w:widowControl/>
      <w:spacing w:before="240" w:after="60"/>
      <w:jc w:val="left"/>
      <w:outlineLvl w:val="5"/>
    </w:pPr>
    <w:rPr>
      <w:rFonts w:ascii="Calibri" w:hAnsi="Calibri"/>
      <w:b/>
      <w:bCs/>
      <w:kern w:val="0"/>
      <w:sz w:val="22"/>
      <w:szCs w:val="22"/>
    </w:rPr>
  </w:style>
  <w:style w:type="paragraph" w:styleId="8">
    <w:name w:val="heading 7"/>
    <w:basedOn w:val="1"/>
    <w:next w:val="1"/>
    <w:link w:val="26"/>
    <w:qFormat/>
    <w:uiPriority w:val="99"/>
    <w:pPr>
      <w:widowControl/>
      <w:spacing w:before="240" w:after="60"/>
      <w:jc w:val="left"/>
      <w:outlineLvl w:val="6"/>
    </w:pPr>
    <w:rPr>
      <w:rFonts w:ascii="Calibri" w:hAnsi="Calibri"/>
      <w:kern w:val="0"/>
      <w:sz w:val="24"/>
    </w:rPr>
  </w:style>
  <w:style w:type="paragraph" w:styleId="9">
    <w:name w:val="heading 8"/>
    <w:basedOn w:val="1"/>
    <w:next w:val="1"/>
    <w:link w:val="27"/>
    <w:qFormat/>
    <w:uiPriority w:val="99"/>
    <w:pPr>
      <w:widowControl/>
      <w:spacing w:before="240" w:after="60"/>
      <w:jc w:val="left"/>
      <w:outlineLvl w:val="7"/>
    </w:pPr>
    <w:rPr>
      <w:rFonts w:ascii="Calibri" w:hAnsi="Calibri"/>
      <w:i/>
      <w:iCs/>
      <w:kern w:val="0"/>
      <w:sz w:val="24"/>
    </w:rPr>
  </w:style>
  <w:style w:type="paragraph" w:styleId="10">
    <w:name w:val="heading 9"/>
    <w:basedOn w:val="1"/>
    <w:next w:val="1"/>
    <w:link w:val="28"/>
    <w:qFormat/>
    <w:uiPriority w:val="99"/>
    <w:pPr>
      <w:widowControl/>
      <w:spacing w:before="240" w:after="60"/>
      <w:jc w:val="left"/>
      <w:outlineLvl w:val="8"/>
    </w:pPr>
    <w:rPr>
      <w:rFonts w:ascii="Cambria" w:hAnsi="Cambr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qFormat/>
    <w:uiPriority w:val="99"/>
    <w:rPr>
      <w:sz w:val="18"/>
      <w:szCs w:val="18"/>
    </w:rPr>
  </w:style>
  <w:style w:type="paragraph" w:styleId="12">
    <w:name w:val="footer"/>
    <w:basedOn w:val="1"/>
    <w:link w:val="44"/>
    <w:uiPriority w:val="99"/>
    <w:pPr>
      <w:tabs>
        <w:tab w:val="center" w:pos="4153"/>
        <w:tab w:val="right" w:pos="8306"/>
      </w:tabs>
      <w:snapToGrid w:val="0"/>
      <w:jc w:val="left"/>
    </w:pPr>
    <w:rPr>
      <w:rFonts w:ascii="Calibri" w:hAnsi="Calibri"/>
      <w:sz w:val="18"/>
      <w:szCs w:val="18"/>
    </w:rPr>
  </w:style>
  <w:style w:type="paragraph" w:styleId="13">
    <w:name w:val="header"/>
    <w:basedOn w:val="1"/>
    <w:link w:val="43"/>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99"/>
    <w:pPr>
      <w:widowControl/>
      <w:spacing w:after="60"/>
      <w:jc w:val="center"/>
      <w:outlineLvl w:val="1"/>
    </w:pPr>
    <w:rPr>
      <w:rFonts w:ascii="Cambria" w:hAnsi="Cambria"/>
      <w:kern w:val="0"/>
      <w:sz w:val="24"/>
    </w:rPr>
  </w:style>
  <w:style w:type="paragraph" w:styleId="15">
    <w:name w:val="Title"/>
    <w:basedOn w:val="1"/>
    <w:next w:val="1"/>
    <w:link w:val="29"/>
    <w:qFormat/>
    <w:uiPriority w:val="99"/>
    <w:pPr>
      <w:widowControl/>
      <w:spacing w:before="240" w:after="60"/>
      <w:jc w:val="center"/>
      <w:outlineLvl w:val="0"/>
    </w:pPr>
    <w:rPr>
      <w:rFonts w:ascii="Cambria" w:hAnsi="Cambria"/>
      <w:b/>
      <w:bCs/>
      <w:kern w:val="28"/>
      <w:sz w:val="32"/>
      <w:szCs w:val="32"/>
    </w:rPr>
  </w:style>
  <w:style w:type="character" w:styleId="18">
    <w:name w:val="Strong"/>
    <w:basedOn w:val="17"/>
    <w:qFormat/>
    <w:uiPriority w:val="99"/>
    <w:rPr>
      <w:rFonts w:cs="Times New Roman"/>
      <w:b/>
      <w:bCs/>
    </w:rPr>
  </w:style>
  <w:style w:type="character" w:styleId="19">
    <w:name w:val="Emphasis"/>
    <w:basedOn w:val="17"/>
    <w:qFormat/>
    <w:uiPriority w:val="99"/>
    <w:rPr>
      <w:rFonts w:ascii="Calibri" w:hAnsi="Calibri" w:cs="Times New Roman"/>
      <w:b/>
      <w:i/>
      <w:iCs/>
    </w:rPr>
  </w:style>
  <w:style w:type="character" w:customStyle="1" w:styleId="20">
    <w:name w:val="标题 1 字符"/>
    <w:basedOn w:val="17"/>
    <w:link w:val="2"/>
    <w:locked/>
    <w:uiPriority w:val="99"/>
    <w:rPr>
      <w:rFonts w:ascii="Cambria" w:hAnsi="Cambria" w:eastAsia="宋体" w:cs="Times New Roman"/>
      <w:b/>
      <w:bCs/>
      <w:kern w:val="32"/>
      <w:sz w:val="32"/>
      <w:szCs w:val="32"/>
    </w:rPr>
  </w:style>
  <w:style w:type="character" w:customStyle="1" w:styleId="21">
    <w:name w:val="标题 2 字符"/>
    <w:basedOn w:val="17"/>
    <w:link w:val="3"/>
    <w:semiHidden/>
    <w:locked/>
    <w:uiPriority w:val="99"/>
    <w:rPr>
      <w:rFonts w:ascii="Cambria" w:hAnsi="Cambria" w:eastAsia="宋体" w:cs="Times New Roman"/>
      <w:b/>
      <w:bCs/>
      <w:i/>
      <w:iCs/>
      <w:sz w:val="28"/>
      <w:szCs w:val="28"/>
    </w:rPr>
  </w:style>
  <w:style w:type="character" w:customStyle="1" w:styleId="22">
    <w:name w:val="标题 3 字符"/>
    <w:basedOn w:val="17"/>
    <w:link w:val="4"/>
    <w:semiHidden/>
    <w:locked/>
    <w:uiPriority w:val="99"/>
    <w:rPr>
      <w:rFonts w:ascii="Cambria" w:hAnsi="Cambria" w:eastAsia="宋体" w:cs="Times New Roman"/>
      <w:b/>
      <w:bCs/>
      <w:sz w:val="26"/>
      <w:szCs w:val="26"/>
    </w:rPr>
  </w:style>
  <w:style w:type="character" w:customStyle="1" w:styleId="23">
    <w:name w:val="标题 4 字符"/>
    <w:basedOn w:val="17"/>
    <w:link w:val="5"/>
    <w:semiHidden/>
    <w:locked/>
    <w:uiPriority w:val="99"/>
    <w:rPr>
      <w:rFonts w:cs="Times New Roman"/>
      <w:b/>
      <w:bCs/>
      <w:sz w:val="28"/>
      <w:szCs w:val="28"/>
    </w:rPr>
  </w:style>
  <w:style w:type="character" w:customStyle="1" w:styleId="24">
    <w:name w:val="标题 5 字符"/>
    <w:basedOn w:val="17"/>
    <w:link w:val="6"/>
    <w:semiHidden/>
    <w:locked/>
    <w:uiPriority w:val="99"/>
    <w:rPr>
      <w:rFonts w:cs="Times New Roman"/>
      <w:b/>
      <w:bCs/>
      <w:i/>
      <w:iCs/>
      <w:sz w:val="26"/>
      <w:szCs w:val="26"/>
    </w:rPr>
  </w:style>
  <w:style w:type="character" w:customStyle="1" w:styleId="25">
    <w:name w:val="标题 6 字符"/>
    <w:basedOn w:val="17"/>
    <w:link w:val="7"/>
    <w:semiHidden/>
    <w:locked/>
    <w:uiPriority w:val="99"/>
    <w:rPr>
      <w:rFonts w:cs="Times New Roman"/>
      <w:b/>
      <w:bCs/>
    </w:rPr>
  </w:style>
  <w:style w:type="character" w:customStyle="1" w:styleId="26">
    <w:name w:val="标题 7 字符"/>
    <w:basedOn w:val="17"/>
    <w:link w:val="8"/>
    <w:semiHidden/>
    <w:locked/>
    <w:uiPriority w:val="99"/>
    <w:rPr>
      <w:rFonts w:cs="Times New Roman"/>
      <w:sz w:val="24"/>
      <w:szCs w:val="24"/>
    </w:rPr>
  </w:style>
  <w:style w:type="character" w:customStyle="1" w:styleId="27">
    <w:name w:val="标题 8 字符"/>
    <w:basedOn w:val="17"/>
    <w:link w:val="9"/>
    <w:semiHidden/>
    <w:locked/>
    <w:uiPriority w:val="99"/>
    <w:rPr>
      <w:rFonts w:cs="Times New Roman"/>
      <w:i/>
      <w:iCs/>
      <w:sz w:val="24"/>
      <w:szCs w:val="24"/>
    </w:rPr>
  </w:style>
  <w:style w:type="character" w:customStyle="1" w:styleId="28">
    <w:name w:val="标题 9 字符"/>
    <w:basedOn w:val="17"/>
    <w:link w:val="10"/>
    <w:semiHidden/>
    <w:locked/>
    <w:uiPriority w:val="99"/>
    <w:rPr>
      <w:rFonts w:ascii="Cambria" w:hAnsi="Cambria" w:eastAsia="宋体" w:cs="Times New Roman"/>
    </w:rPr>
  </w:style>
  <w:style w:type="character" w:customStyle="1" w:styleId="29">
    <w:name w:val="标题 字符"/>
    <w:basedOn w:val="17"/>
    <w:link w:val="15"/>
    <w:locked/>
    <w:uiPriority w:val="99"/>
    <w:rPr>
      <w:rFonts w:ascii="Cambria" w:hAnsi="Cambria" w:eastAsia="宋体" w:cs="Times New Roman"/>
      <w:b/>
      <w:bCs/>
      <w:kern w:val="28"/>
      <w:sz w:val="32"/>
      <w:szCs w:val="32"/>
    </w:rPr>
  </w:style>
  <w:style w:type="character" w:customStyle="1" w:styleId="30">
    <w:name w:val="副标题 字符"/>
    <w:basedOn w:val="17"/>
    <w:link w:val="14"/>
    <w:locked/>
    <w:uiPriority w:val="99"/>
    <w:rPr>
      <w:rFonts w:ascii="Cambria" w:hAnsi="Cambria" w:eastAsia="宋体" w:cs="Times New Roman"/>
      <w:sz w:val="24"/>
      <w:szCs w:val="24"/>
    </w:rPr>
  </w:style>
  <w:style w:type="paragraph" w:styleId="31">
    <w:name w:val="No Spacing"/>
    <w:basedOn w:val="1"/>
    <w:qFormat/>
    <w:uiPriority w:val="99"/>
    <w:pPr>
      <w:widowControl/>
      <w:jc w:val="left"/>
    </w:pPr>
    <w:rPr>
      <w:rFonts w:ascii="Calibri" w:hAnsi="Calibri"/>
      <w:kern w:val="0"/>
      <w:sz w:val="24"/>
      <w:szCs w:val="32"/>
      <w:lang w:eastAsia="en-US"/>
    </w:rPr>
  </w:style>
  <w:style w:type="paragraph" w:styleId="32">
    <w:name w:val="List Paragraph"/>
    <w:basedOn w:val="1"/>
    <w:qFormat/>
    <w:uiPriority w:val="99"/>
    <w:pPr>
      <w:widowControl/>
      <w:ind w:left="720"/>
      <w:contextualSpacing/>
      <w:jc w:val="left"/>
    </w:pPr>
    <w:rPr>
      <w:rFonts w:ascii="Calibri" w:hAnsi="Calibri"/>
      <w:kern w:val="0"/>
      <w:sz w:val="24"/>
      <w:lang w:eastAsia="en-US"/>
    </w:rPr>
  </w:style>
  <w:style w:type="paragraph" w:styleId="33">
    <w:name w:val="Quote"/>
    <w:basedOn w:val="1"/>
    <w:next w:val="1"/>
    <w:link w:val="34"/>
    <w:qFormat/>
    <w:uiPriority w:val="99"/>
    <w:pPr>
      <w:widowControl/>
      <w:jc w:val="left"/>
    </w:pPr>
    <w:rPr>
      <w:rFonts w:ascii="Calibri" w:hAnsi="Calibri"/>
      <w:i/>
      <w:kern w:val="0"/>
      <w:sz w:val="24"/>
    </w:rPr>
  </w:style>
  <w:style w:type="character" w:customStyle="1" w:styleId="34">
    <w:name w:val="引用 字符"/>
    <w:basedOn w:val="17"/>
    <w:link w:val="33"/>
    <w:locked/>
    <w:uiPriority w:val="99"/>
    <w:rPr>
      <w:rFonts w:cs="Times New Roman"/>
      <w:i/>
      <w:sz w:val="24"/>
      <w:szCs w:val="24"/>
    </w:rPr>
  </w:style>
  <w:style w:type="paragraph" w:styleId="35">
    <w:name w:val="Intense Quote"/>
    <w:basedOn w:val="1"/>
    <w:next w:val="1"/>
    <w:link w:val="36"/>
    <w:qFormat/>
    <w:uiPriority w:val="99"/>
    <w:pPr>
      <w:widowControl/>
      <w:ind w:left="720" w:right="720"/>
      <w:jc w:val="left"/>
    </w:pPr>
    <w:rPr>
      <w:rFonts w:ascii="Calibri" w:hAnsi="Calibri"/>
      <w:b/>
      <w:i/>
      <w:kern w:val="0"/>
      <w:sz w:val="24"/>
      <w:szCs w:val="22"/>
    </w:rPr>
  </w:style>
  <w:style w:type="character" w:customStyle="1" w:styleId="36">
    <w:name w:val="明显引用 字符"/>
    <w:basedOn w:val="17"/>
    <w:link w:val="35"/>
    <w:locked/>
    <w:uiPriority w:val="99"/>
    <w:rPr>
      <w:rFonts w:cs="Times New Roman"/>
      <w:b/>
      <w:i/>
      <w:sz w:val="24"/>
    </w:rPr>
  </w:style>
  <w:style w:type="character" w:customStyle="1" w:styleId="37">
    <w:name w:val="不明显强调1"/>
    <w:basedOn w:val="17"/>
    <w:qFormat/>
    <w:uiPriority w:val="99"/>
    <w:rPr>
      <w:rFonts w:cs="Times New Roman"/>
      <w:i/>
      <w:color w:val="5A5A5A"/>
    </w:rPr>
  </w:style>
  <w:style w:type="character" w:customStyle="1" w:styleId="38">
    <w:name w:val="明显强调1"/>
    <w:basedOn w:val="17"/>
    <w:qFormat/>
    <w:uiPriority w:val="99"/>
    <w:rPr>
      <w:rFonts w:cs="Times New Roman"/>
      <w:b/>
      <w:i/>
      <w:sz w:val="24"/>
      <w:szCs w:val="24"/>
      <w:u w:val="single"/>
    </w:rPr>
  </w:style>
  <w:style w:type="character" w:customStyle="1" w:styleId="39">
    <w:name w:val="不明显参考1"/>
    <w:basedOn w:val="17"/>
    <w:qFormat/>
    <w:uiPriority w:val="99"/>
    <w:rPr>
      <w:rFonts w:cs="Times New Roman"/>
      <w:sz w:val="24"/>
      <w:szCs w:val="24"/>
      <w:u w:val="single"/>
    </w:rPr>
  </w:style>
  <w:style w:type="character" w:customStyle="1" w:styleId="40">
    <w:name w:val="明显参考1"/>
    <w:basedOn w:val="17"/>
    <w:qFormat/>
    <w:uiPriority w:val="99"/>
    <w:rPr>
      <w:rFonts w:cs="Times New Roman"/>
      <w:b/>
      <w:sz w:val="24"/>
      <w:u w:val="single"/>
    </w:rPr>
  </w:style>
  <w:style w:type="character" w:customStyle="1" w:styleId="41">
    <w:name w:val="书籍标题1"/>
    <w:basedOn w:val="17"/>
    <w:qFormat/>
    <w:uiPriority w:val="99"/>
    <w:rPr>
      <w:rFonts w:ascii="Cambria" w:hAnsi="Cambria" w:eastAsia="宋体" w:cs="Times New Roman"/>
      <w:b/>
      <w:i/>
      <w:sz w:val="24"/>
      <w:szCs w:val="24"/>
    </w:rPr>
  </w:style>
  <w:style w:type="paragraph" w:customStyle="1" w:styleId="42">
    <w:name w:val="TOC 标题1"/>
    <w:basedOn w:val="2"/>
    <w:next w:val="1"/>
    <w:qFormat/>
    <w:uiPriority w:val="99"/>
    <w:pPr>
      <w:outlineLvl w:val="9"/>
    </w:pPr>
    <w:rPr>
      <w:lang w:eastAsia="en-US"/>
    </w:rPr>
  </w:style>
  <w:style w:type="character" w:customStyle="1" w:styleId="43">
    <w:name w:val="页眉 字符"/>
    <w:basedOn w:val="17"/>
    <w:link w:val="13"/>
    <w:locked/>
    <w:uiPriority w:val="99"/>
    <w:rPr>
      <w:rFonts w:ascii="Calibri" w:hAnsi="Calibri" w:eastAsia="宋体" w:cs="Times New Roman"/>
      <w:kern w:val="2"/>
      <w:sz w:val="18"/>
      <w:szCs w:val="18"/>
    </w:rPr>
  </w:style>
  <w:style w:type="character" w:customStyle="1" w:styleId="44">
    <w:name w:val="页脚 字符"/>
    <w:basedOn w:val="17"/>
    <w:link w:val="12"/>
    <w:locked/>
    <w:uiPriority w:val="99"/>
    <w:rPr>
      <w:rFonts w:ascii="Calibri" w:hAnsi="Calibri" w:eastAsia="宋体" w:cs="Times New Roman"/>
      <w:kern w:val="2"/>
      <w:sz w:val="18"/>
      <w:szCs w:val="18"/>
    </w:rPr>
  </w:style>
  <w:style w:type="character" w:customStyle="1" w:styleId="45">
    <w:name w:val="批注框文本 字符"/>
    <w:basedOn w:val="17"/>
    <w:link w:val="11"/>
    <w:semiHidden/>
    <w:locked/>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461</Words>
  <Characters>2631</Characters>
  <Lines>21</Lines>
  <Paragraphs>6</Paragraphs>
  <TotalTime>16</TotalTime>
  <ScaleCrop>false</ScaleCrop>
  <LinksUpToDate>false</LinksUpToDate>
  <CharactersWithSpaces>3086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2019-01-31T08:22:00Z</dcterms:created>
  <dc:creator>赵 恺（预算处）</dc:creator>
  <cp:lastModifiedBy>Administrator</cp:lastModifiedBy>
  <cp:lastPrinted>2018-12-31T10:56:00Z</cp:lastPrinted>
  <dcterms:modified xsi:type="dcterms:W3CDTF">2021-05-29T11:56:42Z</dcterms:modified>
  <dc:title>附件2：</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