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649" w:hRule="exact"/>
          <w:jc w:val="center"/>
        </w:trPr>
        <w:tc>
          <w:tcPr>
            <w:tcW w:w="9080"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lang w:eastAsia="zh-CN"/>
              </w:rPr>
              <w:t>新疆巴州和静县中国人民政治协商会议和静县委员会办公室</w: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2019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自治州政协委员活动经费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和静县政协办公室</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和静县政协办公室</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2.82</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2.82</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55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bookmarkStart w:id="0" w:name="_GoBack"/>
            <w:r>
              <w:rPr>
                <w:rFonts w:hint="eastAsia" w:ascii="宋体" w:hAnsi="宋体" w:eastAsia="宋体" w:cs="宋体"/>
                <w:kern w:val="0"/>
                <w:sz w:val="15"/>
                <w:szCs w:val="15"/>
              </w:rPr>
              <w:t>1.按照县委.政府工作要求，紧紧围绕</w:t>
            </w:r>
            <w:r>
              <w:rPr>
                <w:rFonts w:hint="eastAsia" w:ascii="宋体" w:hAnsi="宋体" w:eastAsia="宋体" w:cs="宋体"/>
                <w:kern w:val="0"/>
                <w:sz w:val="15"/>
                <w:szCs w:val="15"/>
                <w:lang w:eastAsia="zh-CN"/>
              </w:rPr>
              <w:t>社会</w:t>
            </w:r>
            <w:r>
              <w:rPr>
                <w:rFonts w:hint="eastAsia" w:ascii="宋体" w:hAnsi="宋体" w:eastAsia="宋体" w:cs="宋体"/>
                <w:kern w:val="0"/>
                <w:sz w:val="15"/>
                <w:szCs w:val="15"/>
              </w:rPr>
              <w:t>总目标，以加强基层党组织建设、做好群众工作为重点，深入开展</w:t>
            </w:r>
            <w:r>
              <w:rPr>
                <w:rFonts w:hint="eastAsia" w:ascii="宋体" w:hAnsi="宋体" w:eastAsia="宋体" w:cs="宋体"/>
                <w:kern w:val="0"/>
                <w:sz w:val="15"/>
                <w:szCs w:val="15"/>
                <w:lang w:eastAsia="zh-CN"/>
              </w:rPr>
              <w:t>组织事务管理</w:t>
            </w:r>
            <w:r>
              <w:rPr>
                <w:rFonts w:hint="eastAsia" w:ascii="宋体" w:hAnsi="宋体" w:eastAsia="宋体" w:cs="宋体"/>
                <w:kern w:val="0"/>
                <w:sz w:val="15"/>
                <w:szCs w:val="15"/>
              </w:rPr>
              <w:t>工作，</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5"/>
                <w:szCs w:val="15"/>
              </w:rPr>
              <w:t>2.着力在转变干部作风、加强民族团结、保障改善民生、强化基层基础通过委员视察，调研写出对县委政府有建设性的调研报告等方面取得突破性进展。</w:t>
            </w:r>
            <w:bookmarkEnd w:id="0"/>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保障改善民生、强化基层基础通过委员视察，调研写出对县委政府有建设性的调研报告  </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46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政协委员人数（县.州.区）</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≥140人</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140人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2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政协委员提案数量</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≥210个</w:t>
            </w:r>
          </w:p>
        </w:tc>
        <w:tc>
          <w:tcPr>
            <w:tcW w:w="851" w:type="dxa"/>
            <w:tcBorders>
              <w:top w:val="nil"/>
              <w:left w:val="nil"/>
              <w:bottom w:val="single" w:color="auto" w:sz="4" w:space="0"/>
              <w:right w:val="single" w:color="auto" w:sz="4" w:space="0"/>
            </w:tcBorders>
            <w:vAlign w:val="center"/>
          </w:tcPr>
          <w:p>
            <w:pPr>
              <w:jc w:val="center"/>
              <w:rPr>
                <w:rFonts w:ascii="宋体" w:hAnsi="宋体" w:eastAsia="宋体"/>
                <w:color w:val="000000"/>
                <w:sz w:val="15"/>
                <w:szCs w:val="15"/>
              </w:rPr>
            </w:pPr>
            <w:r>
              <w:rPr>
                <w:rFonts w:hint="eastAsia" w:ascii="宋体" w:hAnsi="宋体" w:eastAsia="宋体"/>
                <w:color w:val="000000"/>
                <w:sz w:val="15"/>
                <w:szCs w:val="15"/>
              </w:rPr>
              <w:t>210个</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2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政协委员提案办复率</w:t>
            </w:r>
          </w:p>
        </w:tc>
        <w:tc>
          <w:tcPr>
            <w:tcW w:w="850" w:type="dxa"/>
            <w:tcBorders>
              <w:top w:val="nil"/>
              <w:left w:val="nil"/>
              <w:bottom w:val="single" w:color="auto" w:sz="4" w:space="0"/>
              <w:right w:val="single" w:color="auto" w:sz="4" w:space="0"/>
            </w:tcBorders>
            <w:vAlign w:val="center"/>
          </w:tcPr>
          <w:p>
            <w:pPr>
              <w:jc w:val="center"/>
              <w:rPr>
                <w:rFonts w:ascii="宋体" w:hAnsi="宋体" w:eastAsia="宋体" w:cs="宋体"/>
                <w:color w:val="000000"/>
                <w:sz w:val="15"/>
                <w:szCs w:val="15"/>
              </w:rPr>
            </w:pPr>
            <w:r>
              <w:rPr>
                <w:rFonts w:hint="eastAsia" w:ascii="宋体" w:hAnsi="宋体" w:eastAsia="宋体"/>
                <w:color w:val="000000"/>
                <w:sz w:val="15"/>
                <w:szCs w:val="15"/>
              </w:rPr>
              <w:t>≥96%</w:t>
            </w:r>
          </w:p>
          <w:p>
            <w:pPr>
              <w:widowControl/>
              <w:spacing w:line="240" w:lineRule="exact"/>
              <w:jc w:val="center"/>
              <w:rPr>
                <w:rFonts w:ascii="宋体" w:hAnsi="宋体" w:eastAsia="宋体" w:cs="宋体"/>
                <w:kern w:val="0"/>
                <w:sz w:val="15"/>
                <w:szCs w:val="15"/>
              </w:rPr>
            </w:pPr>
          </w:p>
        </w:tc>
        <w:tc>
          <w:tcPr>
            <w:tcW w:w="851" w:type="dxa"/>
            <w:tcBorders>
              <w:top w:val="nil"/>
              <w:left w:val="nil"/>
              <w:bottom w:val="single" w:color="auto" w:sz="4" w:space="0"/>
              <w:right w:val="single" w:color="auto" w:sz="4" w:space="0"/>
            </w:tcBorders>
            <w:vAlign w:val="center"/>
          </w:tcPr>
          <w:p>
            <w:pPr>
              <w:jc w:val="center"/>
              <w:rPr>
                <w:rFonts w:ascii="宋体" w:hAnsi="宋体" w:eastAsia="宋体" w:cs="宋体"/>
                <w:color w:val="000000"/>
                <w:sz w:val="15"/>
                <w:szCs w:val="15"/>
              </w:rPr>
            </w:pPr>
            <w:r>
              <w:rPr>
                <w:rFonts w:hint="eastAsia" w:ascii="宋体" w:hAnsi="宋体" w:eastAsia="宋体"/>
                <w:color w:val="000000"/>
                <w:sz w:val="15"/>
                <w:szCs w:val="15"/>
              </w:rPr>
              <w:t>96%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4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办公室各项经费执行率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≥97%</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0</w:t>
            </w:r>
          </w:p>
        </w:tc>
        <w:tc>
          <w:tcPr>
            <w:tcW w:w="567" w:type="dxa"/>
            <w:gridSpan w:val="2"/>
            <w:tcBorders>
              <w:top w:val="nil"/>
              <w:left w:val="nil"/>
              <w:bottom w:val="single" w:color="auto" w:sz="4" w:space="0"/>
              <w:right w:val="single" w:color="auto" w:sz="4" w:space="0"/>
            </w:tcBorders>
            <w:vAlign w:val="center"/>
          </w:tcPr>
          <w:p>
            <w:pPr>
              <w:widowControl/>
              <w:spacing w:line="240" w:lineRule="exact"/>
              <w:rPr>
                <w:rFonts w:ascii="宋体" w:hAnsi="宋体" w:eastAsia="宋体" w:cs="宋体"/>
                <w:kern w:val="0"/>
                <w:sz w:val="15"/>
                <w:szCs w:val="15"/>
              </w:rPr>
            </w:pPr>
            <w:r>
              <w:rPr>
                <w:rFonts w:hint="eastAsia" w:ascii="宋体" w:hAnsi="宋体" w:eastAsia="宋体" w:cs="宋体"/>
                <w:kern w:val="0"/>
                <w:sz w:val="15"/>
                <w:szCs w:val="15"/>
              </w:rPr>
              <w:t xml:space="preserve">  7</w:t>
            </w:r>
          </w:p>
        </w:tc>
        <w:tc>
          <w:tcPr>
            <w:tcW w:w="567" w:type="dxa"/>
            <w:gridSpan w:val="2"/>
            <w:tcBorders>
              <w:top w:val="nil"/>
              <w:left w:val="nil"/>
              <w:bottom w:val="single" w:color="auto" w:sz="4" w:space="0"/>
              <w:right w:val="single" w:color="auto" w:sz="4" w:space="0"/>
            </w:tcBorders>
            <w:vAlign w:val="center"/>
          </w:tcPr>
          <w:p>
            <w:pPr>
              <w:widowControl/>
              <w:spacing w:line="240" w:lineRule="exact"/>
              <w:ind w:firstLine="150" w:firstLineChars="100"/>
              <w:rPr>
                <w:rFonts w:ascii="宋体" w:hAnsi="宋体" w:eastAsia="宋体" w:cs="宋体"/>
                <w:kern w:val="0"/>
                <w:sz w:val="15"/>
                <w:szCs w:val="15"/>
              </w:rPr>
            </w:pPr>
            <w:r>
              <w:rPr>
                <w:rFonts w:hint="eastAsia" w:ascii="宋体" w:hAnsi="宋体" w:eastAsia="宋体" w:cs="宋体"/>
                <w:kern w:val="0"/>
                <w:sz w:val="15"/>
                <w:szCs w:val="15"/>
              </w:rPr>
              <w:t>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资金付款在办理中</w:t>
            </w:r>
          </w:p>
        </w:tc>
      </w:tr>
      <w:tr>
        <w:tblPrEx>
          <w:tblCellMar>
            <w:top w:w="0" w:type="dxa"/>
            <w:left w:w="108" w:type="dxa"/>
            <w:bottom w:w="0" w:type="dxa"/>
            <w:right w:w="108" w:type="dxa"/>
          </w:tblCellMar>
        </w:tblPrEx>
        <w:trPr>
          <w:trHeight w:val="59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政协委员活动开展时间</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2019年1－12月</w:t>
            </w:r>
          </w:p>
          <w:p>
            <w:pPr>
              <w:widowControl/>
              <w:spacing w:line="240" w:lineRule="exact"/>
              <w:jc w:val="center"/>
              <w:rPr>
                <w:rFonts w:ascii="宋体" w:hAnsi="宋体" w:eastAsia="宋体" w:cs="宋体"/>
                <w:kern w:val="0"/>
                <w:sz w:val="15"/>
                <w:szCs w:val="15"/>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100%</w:t>
            </w:r>
          </w:p>
          <w:p>
            <w:pPr>
              <w:widowControl/>
              <w:spacing w:line="240" w:lineRule="exact"/>
              <w:jc w:val="center"/>
              <w:rPr>
                <w:rFonts w:ascii="宋体" w:hAnsi="宋体" w:eastAsia="宋体" w:cs="宋体"/>
                <w:kern w:val="0"/>
                <w:sz w:val="11"/>
                <w:szCs w:val="11"/>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45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政协项目支出</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≤2.82万元</w:t>
            </w:r>
          </w:p>
        </w:tc>
        <w:tc>
          <w:tcPr>
            <w:tcW w:w="851" w:type="dxa"/>
            <w:tcBorders>
              <w:top w:val="nil"/>
              <w:left w:val="nil"/>
              <w:bottom w:val="single" w:color="auto" w:sz="4" w:space="0"/>
              <w:right w:val="single" w:color="auto" w:sz="4" w:space="0"/>
            </w:tcBorders>
            <w:vAlign w:val="center"/>
          </w:tcPr>
          <w:p>
            <w:pPr>
              <w:widowControl/>
              <w:spacing w:line="240" w:lineRule="exact"/>
              <w:rPr>
                <w:rFonts w:ascii="宋体" w:hAnsi="宋体" w:eastAsia="宋体" w:cs="宋体"/>
                <w:kern w:val="0"/>
                <w:sz w:val="15"/>
                <w:szCs w:val="15"/>
              </w:rPr>
            </w:pPr>
            <w:r>
              <w:rPr>
                <w:rFonts w:hint="eastAsia" w:ascii="宋体" w:hAnsi="宋体" w:eastAsia="宋体" w:cs="宋体"/>
                <w:kern w:val="0"/>
                <w:sz w:val="15"/>
                <w:szCs w:val="15"/>
              </w:rPr>
              <w:t xml:space="preserve">   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资金付款在办理中</w:t>
            </w:r>
          </w:p>
        </w:tc>
      </w:tr>
      <w:tr>
        <w:tblPrEx>
          <w:tblCellMar>
            <w:top w:w="0" w:type="dxa"/>
            <w:left w:w="108" w:type="dxa"/>
            <w:bottom w:w="0" w:type="dxa"/>
            <w:right w:w="108" w:type="dxa"/>
          </w:tblCellMar>
        </w:tblPrEx>
        <w:trPr>
          <w:trHeight w:val="54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政协委员参政议政能力</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稳步提高</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5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保障改善民生、维护社会稳定</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有效</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群众满意度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≥97%</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41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政协委员满意度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≥96%</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437"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3"/>
                <w:szCs w:val="13"/>
              </w:rPr>
            </w:pPr>
            <w:r>
              <w:rPr>
                <w:rFonts w:hint="eastAsia" w:ascii="宋体" w:hAnsi="宋体" w:eastAsia="宋体" w:cs="宋体"/>
                <w:color w:val="000000"/>
                <w:kern w:val="0"/>
                <w:sz w:val="15"/>
                <w:szCs w:val="15"/>
              </w:rPr>
              <w:t>76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bl>
    <w:p>
      <w:pPr>
        <w:rPr>
          <w:rFonts w:ascii="黑体" w:hAnsi="黑体" w:eastAsia="黑体"/>
        </w:rPr>
        <w:sectPr>
          <w:pgSz w:w="11906" w:h="16838"/>
          <w:pgMar w:top="1928" w:right="1531" w:bottom="1701" w:left="1531" w:header="737" w:footer="851" w:gutter="0"/>
          <w:cols w:space="720" w:num="1"/>
          <w:docGrid w:type="lines" w:linePitch="408" w:charSpace="0"/>
        </w:sectPr>
      </w:pPr>
    </w:p>
    <w:p>
      <w:pPr>
        <w:spacing w:line="560" w:lineRule="exact"/>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spacing w:line="560" w:lineRule="exact"/>
        <w:ind w:firstLine="600" w:firstLineChars="200"/>
        <w:rPr>
          <w:rFonts w:ascii="仿宋_GB2312"/>
        </w:rPr>
      </w:pPr>
    </w:p>
    <w:p>
      <w:pPr>
        <w:spacing w:line="560" w:lineRule="exact"/>
        <w:ind w:firstLine="600" w:firstLineChars="200"/>
        <w:rPr>
          <w:rFonts w:ascii="黑体" w:hAnsi="黑体" w:eastAsia="黑体"/>
        </w:rPr>
      </w:pPr>
      <w:r>
        <w:rPr>
          <w:rFonts w:hint="eastAsia" w:ascii="黑体" w:hAnsi="黑体" w:eastAsia="黑体"/>
        </w:rPr>
        <w:t>一、基本情况</w:t>
      </w:r>
    </w:p>
    <w:p>
      <w:pPr>
        <w:pStyle w:val="4"/>
        <w:shd w:val="clear" w:color="auto" w:fill="FFFFFF"/>
        <w:spacing w:line="560" w:lineRule="exact"/>
        <w:ind w:firstLine="480"/>
        <w:jc w:val="both"/>
        <w:rPr>
          <w:rFonts w:ascii="仿宋_GB2312" w:hAnsi="Times New Roman" w:eastAsia="仿宋_GB2312" w:cs="Times New Roman"/>
          <w:kern w:val="2"/>
          <w:sz w:val="30"/>
        </w:rPr>
      </w:pPr>
      <w:r>
        <w:rPr>
          <w:rFonts w:hint="eastAsia" w:ascii="仿宋_GB2312"/>
        </w:rPr>
        <w:t>（</w:t>
      </w:r>
      <w:r>
        <w:rPr>
          <w:rFonts w:hint="eastAsia" w:ascii="仿宋_GB2312" w:hAnsi="Times New Roman" w:eastAsia="仿宋_GB2312" w:cs="Times New Roman"/>
          <w:kern w:val="2"/>
          <w:sz w:val="30"/>
        </w:rPr>
        <w:t>一）项目概况。</w:t>
      </w:r>
    </w:p>
    <w:p>
      <w:pPr>
        <w:autoSpaceDE w:val="0"/>
        <w:autoSpaceDN w:val="0"/>
        <w:adjustRightInd w:val="0"/>
        <w:spacing w:line="560" w:lineRule="exact"/>
        <w:ind w:firstLine="600" w:firstLineChars="200"/>
        <w:rPr>
          <w:rFonts w:ascii="仿宋_GB2312"/>
        </w:rPr>
      </w:pPr>
      <w:r>
        <w:rPr>
          <w:rFonts w:ascii="仿宋_GB2312"/>
        </w:rPr>
        <w:t>和静县政协主要职能是：政治协商、民主监督、参政议政。这三项主要职能是各党派团体、各族各界人士在中国政治体制中参与国事、发挥作用的重要内容和基本形式，体现了人民政协的性质和特点，是人民政协区别于其他政治组织的重要标志。</w:t>
      </w:r>
      <w:r>
        <w:rPr>
          <w:rFonts w:hint="eastAsia" w:ascii="仿宋_GB2312"/>
        </w:rPr>
        <w:t>县</w:t>
      </w:r>
      <w:r>
        <w:rPr>
          <w:rFonts w:ascii="仿宋_GB2312"/>
        </w:rPr>
        <w:t>政协办公室承担</w:t>
      </w:r>
      <w:r>
        <w:rPr>
          <w:rFonts w:hint="eastAsia" w:ascii="仿宋_GB2312"/>
        </w:rPr>
        <w:t>政协机关</w:t>
      </w:r>
      <w:r>
        <w:rPr>
          <w:rFonts w:ascii="仿宋_GB2312"/>
        </w:rPr>
        <w:t>的文件、文搞的起草、修改、校核、翻译、印发和日常文书处理工作。负责和静县政协</w:t>
      </w:r>
      <w:r>
        <w:rPr>
          <w:rFonts w:hint="eastAsia" w:ascii="仿宋_GB2312"/>
        </w:rPr>
        <w:t>机关</w:t>
      </w:r>
      <w:r>
        <w:rPr>
          <w:rFonts w:ascii="仿宋_GB2312"/>
        </w:rPr>
        <w:t>各种会议的会务工作和和静县政协领导同志参加重大活动的组织安排；协助各部门做好领导来县的接待服务工作各项保密工作。</w:t>
      </w:r>
    </w:p>
    <w:p>
      <w:pPr>
        <w:autoSpaceDE w:val="0"/>
        <w:autoSpaceDN w:val="0"/>
        <w:adjustRightInd w:val="0"/>
        <w:spacing w:line="560" w:lineRule="exact"/>
        <w:ind w:firstLine="600" w:firstLineChars="200"/>
        <w:rPr>
          <w:rFonts w:ascii="仿宋_GB2312"/>
        </w:rPr>
      </w:pPr>
      <w:r>
        <w:rPr>
          <w:rFonts w:ascii="仿宋_GB2312"/>
        </w:rPr>
        <w:t>201</w:t>
      </w:r>
      <w:r>
        <w:rPr>
          <w:rFonts w:hint="eastAsia" w:ascii="仿宋_GB2312"/>
        </w:rPr>
        <w:t>9</w:t>
      </w:r>
      <w:r>
        <w:rPr>
          <w:rFonts w:ascii="仿宋_GB2312"/>
        </w:rPr>
        <w:t>年</w:t>
      </w:r>
      <w:r>
        <w:rPr>
          <w:rFonts w:hint="eastAsia" w:ascii="仿宋_GB2312"/>
        </w:rPr>
        <w:t>县政协办公室</w:t>
      </w:r>
      <w:r>
        <w:rPr>
          <w:rFonts w:ascii="仿宋_GB2312"/>
        </w:rPr>
        <w:t>狠抓重点工作，较好的完成了各项目标任务，取得了较好的社会效益。根据</w:t>
      </w:r>
      <w:r>
        <w:rPr>
          <w:rFonts w:hint="eastAsia" w:ascii="仿宋_GB2312"/>
        </w:rPr>
        <w:t>县政协</w:t>
      </w:r>
      <w:r>
        <w:rPr>
          <w:rFonts w:ascii="仿宋_GB2312"/>
        </w:rPr>
        <w:t>的工作职能和职责、按照项目资金的使用内容和用途，本单位项目资金支出主要有</w:t>
      </w:r>
      <w:r>
        <w:rPr>
          <w:rFonts w:hint="eastAsia" w:ascii="仿宋_GB2312"/>
        </w:rPr>
        <w:t>三</w:t>
      </w:r>
      <w:r>
        <w:rPr>
          <w:rFonts w:ascii="仿宋_GB2312"/>
        </w:rPr>
        <w:t>项：1、专委会工作经费；2、专项调研</w:t>
      </w:r>
      <w:r>
        <w:rPr>
          <w:rFonts w:hint="eastAsia" w:ascii="仿宋_GB2312"/>
        </w:rPr>
        <w:t>、</w:t>
      </w:r>
      <w:r>
        <w:rPr>
          <w:rFonts w:ascii="仿宋_GB2312"/>
        </w:rPr>
        <w:t>委员视察培训、民主评议工作经费；3、</w:t>
      </w:r>
      <w:r>
        <w:rPr>
          <w:rFonts w:hint="eastAsia" w:ascii="仿宋_GB2312"/>
        </w:rPr>
        <w:t>办公室各项经费</w:t>
      </w:r>
      <w:r>
        <w:rPr>
          <w:rFonts w:ascii="仿宋_GB2312"/>
        </w:rPr>
        <w:t>。这</w:t>
      </w:r>
      <w:r>
        <w:rPr>
          <w:rFonts w:hint="eastAsia" w:ascii="仿宋_GB2312"/>
        </w:rPr>
        <w:t>一</w:t>
      </w:r>
      <w:r>
        <w:rPr>
          <w:rFonts w:ascii="仿宋_GB2312"/>
        </w:rPr>
        <w:t>个项目为持续性、常年性项目，资金来源为年初</w:t>
      </w:r>
      <w:r>
        <w:rPr>
          <w:rFonts w:hint="eastAsia" w:ascii="仿宋_GB2312"/>
        </w:rPr>
        <w:t>自治区政协</w:t>
      </w:r>
      <w:r>
        <w:rPr>
          <w:rFonts w:ascii="仿宋_GB2312"/>
        </w:rPr>
        <w:t>预算。通过这些专项工作的开展，保证</w:t>
      </w:r>
      <w:r>
        <w:rPr>
          <w:rFonts w:hint="eastAsia" w:ascii="仿宋_GB2312"/>
        </w:rPr>
        <w:t>县</w:t>
      </w:r>
      <w:r>
        <w:rPr>
          <w:rFonts w:ascii="仿宋_GB2312"/>
        </w:rPr>
        <w:t>政协工作</w:t>
      </w:r>
      <w:r>
        <w:rPr>
          <w:rFonts w:hint="eastAsia" w:ascii="仿宋_GB2312"/>
        </w:rPr>
        <w:t>有序</w:t>
      </w:r>
      <w:r>
        <w:rPr>
          <w:rFonts w:ascii="仿宋_GB2312"/>
        </w:rPr>
        <w:t>的开展。</w:t>
      </w:r>
    </w:p>
    <w:p>
      <w:pPr>
        <w:spacing w:line="56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600" w:firstLineChars="200"/>
        <w:rPr>
          <w:rFonts w:ascii="仿宋_GB2312"/>
        </w:rPr>
      </w:pPr>
      <w:r>
        <w:rPr>
          <w:rFonts w:hint="eastAsia" w:ascii="仿宋_GB2312"/>
        </w:rPr>
        <w:t>（一）通过对2019年和静县政协的预算配置、预算管理、资产管理、职责履行、履职效益等内容的绩效考评，提高财政资金的使用效率，为财政部门预算管理提供决策依据。</w:t>
      </w:r>
    </w:p>
    <w:p>
      <w:pPr>
        <w:tabs>
          <w:tab w:val="left" w:pos="570"/>
          <w:tab w:val="left" w:pos="9420"/>
          <w:tab w:val="left" w:pos="9600"/>
          <w:tab w:val="left" w:pos="9780"/>
        </w:tabs>
        <w:spacing w:line="560" w:lineRule="exact"/>
        <w:ind w:firstLine="600" w:firstLineChars="200"/>
        <w:rPr>
          <w:rFonts w:ascii="仿宋_GB2312"/>
        </w:rPr>
      </w:pPr>
      <w:r>
        <w:rPr>
          <w:rFonts w:hint="eastAsia" w:ascii="仿宋_GB2312"/>
        </w:rPr>
        <w:t>（二）1、单位项目支出绩效评价原则：遵循客观公正，操作简便高效，尊重客观实际，实事求是的原则。</w:t>
      </w:r>
    </w:p>
    <w:p>
      <w:pPr>
        <w:tabs>
          <w:tab w:val="left" w:pos="570"/>
          <w:tab w:val="left" w:pos="9420"/>
          <w:tab w:val="left" w:pos="9600"/>
          <w:tab w:val="left" w:pos="9780"/>
        </w:tabs>
        <w:spacing w:line="560" w:lineRule="exact"/>
        <w:ind w:firstLine="900" w:firstLineChars="300"/>
        <w:rPr>
          <w:rFonts w:ascii="仿宋_GB2312"/>
        </w:rPr>
      </w:pPr>
      <w:r>
        <w:rPr>
          <w:rFonts w:hint="eastAsia" w:ascii="仿宋_GB2312"/>
        </w:rPr>
        <w:t>2、项目支出绩效评价体系：指标体系包括共性指标和个性指标两部分，主要参照财政部门制定的《部门项目支出绩效评价指标体系》的相关内容，根据单位具体情况对个性指标进行了调整细化。</w:t>
      </w:r>
    </w:p>
    <w:p>
      <w:pPr>
        <w:tabs>
          <w:tab w:val="left" w:pos="570"/>
          <w:tab w:val="left" w:pos="9420"/>
          <w:tab w:val="left" w:pos="9600"/>
          <w:tab w:val="left" w:pos="9780"/>
        </w:tabs>
        <w:spacing w:line="560" w:lineRule="exact"/>
        <w:ind w:firstLine="900" w:firstLineChars="300"/>
        <w:rPr>
          <w:rFonts w:ascii="仿宋_GB2312"/>
        </w:rPr>
      </w:pPr>
      <w:r>
        <w:rPr>
          <w:rFonts w:hint="eastAsia" w:ascii="仿宋_GB2312"/>
        </w:rPr>
        <w:t>3、整体支出绩效评价方法：主要采用因素分析法、比较法等方法。</w:t>
      </w:r>
    </w:p>
    <w:p>
      <w:pPr>
        <w:spacing w:line="560" w:lineRule="exact"/>
        <w:ind w:firstLine="600" w:firstLineChars="200"/>
        <w:rPr>
          <w:rFonts w:ascii="仿宋_GB2312"/>
        </w:rPr>
      </w:pPr>
      <w:r>
        <w:rPr>
          <w:rFonts w:hint="eastAsia" w:ascii="仿宋_GB2312"/>
        </w:rPr>
        <w:t>（三）按照项目绩效自评工作要求，县政协及时成立了政协办公室财政预算项目绩效管理工作领导小组，核查2019年财政预算批复执行及单位项目绩效支出情况，对内设机构，根据部门职能和年初制定的项目绩效考核目标进行实地项目绩效考评。对考评过程中收集的资料进行归纳，汇总分析，依据设定的单位项目支出绩效评价指标体系进行评分，形成综合性书面报告。</w:t>
      </w:r>
    </w:p>
    <w:p>
      <w:pPr>
        <w:spacing w:line="560" w:lineRule="exact"/>
        <w:ind w:firstLine="600" w:firstLineChars="200"/>
      </w:pPr>
      <w:r>
        <w:rPr>
          <w:rFonts w:hint="eastAsia" w:ascii="黑体" w:hAnsi="黑体" w:eastAsia="黑体"/>
        </w:rPr>
        <w:t>三、</w:t>
      </w:r>
      <w:r>
        <w:t>我单位</w:t>
      </w:r>
      <w:r>
        <w:rPr>
          <w:rFonts w:hint="eastAsia"/>
        </w:rPr>
        <w:t>1</w:t>
      </w:r>
      <w:r>
        <w:t>个专项工作均已于201</w:t>
      </w:r>
      <w:r>
        <w:rPr>
          <w:rFonts w:hint="eastAsia"/>
        </w:rPr>
        <w:t>9</w:t>
      </w:r>
      <w:r>
        <w:t>年完成，完成了年度</w:t>
      </w:r>
      <w:r>
        <w:rPr>
          <w:rFonts w:hint="eastAsia"/>
        </w:rPr>
        <w:t>项目</w:t>
      </w:r>
      <w:r>
        <w:t>绩效目标。所有项目的日常管理工作均按照</w:t>
      </w:r>
      <w:r>
        <w:rPr>
          <w:rFonts w:hint="eastAsia"/>
        </w:rPr>
        <w:t>县政协</w:t>
      </w:r>
      <w:r>
        <w:t>相关管理制度执行，建立了工作有计划、实施有方案、日常有监督的管理机制，工作取得了较好的成效，效能得到了提高、获得了社会公众的好评</w:t>
      </w:r>
    </w:p>
    <w:p>
      <w:pPr>
        <w:spacing w:line="560" w:lineRule="exact"/>
        <w:ind w:firstLine="600" w:firstLineChars="200"/>
        <w:rPr>
          <w:rFonts w:ascii="黑体" w:hAnsi="黑体" w:eastAsia="黑体"/>
        </w:rPr>
      </w:pPr>
      <w:r>
        <w:rPr>
          <w:rFonts w:hint="eastAsia" w:ascii="黑体" w:hAnsi="黑体" w:eastAsia="黑体"/>
        </w:rPr>
        <w:t>四、绩效评价指标分析</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县政协2019年1个专项，从项目立项、资金落实、业务管理到财务管理、项目产出、项目效益，3项二级指标得分都很高，总分达到</w:t>
      </w:r>
      <w:r>
        <w:rPr>
          <w:rFonts w:hint="eastAsia" w:ascii="仿宋_GB2312" w:hAnsi="仿宋_GB2312" w:eastAsia="仿宋_GB2312" w:cs="仿宋_GB2312"/>
          <w:color w:val="000000" w:themeColor="text1"/>
          <w:kern w:val="2"/>
          <w:sz w:val="30"/>
        </w:rPr>
        <w:t>116</w:t>
      </w:r>
      <w:r>
        <w:rPr>
          <w:rFonts w:hint="eastAsia" w:ascii="仿宋_GB2312" w:hAnsi="仿宋_GB2312" w:eastAsia="仿宋_GB2312" w:cs="仿宋_GB2312"/>
          <w:kern w:val="2"/>
          <w:sz w:val="30"/>
        </w:rPr>
        <w:t>分。</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1、项目立项（</w:t>
      </w:r>
      <w:r>
        <w:rPr>
          <w:rFonts w:hint="eastAsia" w:ascii="仿宋_GB2312" w:hAnsi="仿宋_GB2312" w:eastAsia="仿宋_GB2312" w:cs="仿宋_GB2312"/>
          <w:color w:val="000000" w:themeColor="text1"/>
          <w:kern w:val="2"/>
          <w:sz w:val="30"/>
        </w:rPr>
        <w:t>20</w:t>
      </w:r>
      <w:r>
        <w:rPr>
          <w:rFonts w:hint="eastAsia" w:ascii="仿宋_GB2312" w:hAnsi="仿宋_GB2312" w:eastAsia="仿宋_GB2312" w:cs="仿宋_GB2312"/>
          <w:kern w:val="2"/>
          <w:sz w:val="30"/>
        </w:rPr>
        <w:t>分）：项目的申请、设立过程符合相关要求，设定的项目绩效目标合理，绩效指标细化、明确、清晰、可衡量。</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2、资金落实（20分）：资金落实到位情况良好</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3、业务管理（18分）：管理制度健全、制度执行有效、项目质量可控。</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4、财务管理（</w:t>
      </w:r>
      <w:r>
        <w:rPr>
          <w:rFonts w:hint="eastAsia" w:ascii="仿宋_GB2312" w:hAnsi="仿宋_GB2312" w:eastAsia="仿宋_GB2312" w:cs="仿宋_GB2312"/>
          <w:color w:val="000000" w:themeColor="text1"/>
          <w:kern w:val="2"/>
          <w:sz w:val="30"/>
        </w:rPr>
        <w:t>20</w:t>
      </w:r>
      <w:r>
        <w:rPr>
          <w:rFonts w:hint="eastAsia" w:ascii="仿宋_GB2312" w:hAnsi="仿宋_GB2312" w:eastAsia="仿宋_GB2312" w:cs="仿宋_GB2312"/>
          <w:kern w:val="2"/>
          <w:sz w:val="30"/>
        </w:rPr>
        <w:t>分）：管理制度健全、资金使用合规、财务监控有效。</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5、项目产出（</w:t>
      </w:r>
      <w:r>
        <w:rPr>
          <w:rFonts w:hint="eastAsia" w:ascii="仿宋_GB2312" w:hAnsi="仿宋_GB2312" w:eastAsia="仿宋_GB2312" w:cs="仿宋_GB2312"/>
          <w:color w:val="000000" w:themeColor="text1"/>
          <w:kern w:val="2"/>
          <w:sz w:val="30"/>
        </w:rPr>
        <w:t>19</w:t>
      </w:r>
      <w:r>
        <w:rPr>
          <w:rFonts w:hint="eastAsia" w:ascii="仿宋_GB2312" w:hAnsi="仿宋_GB2312" w:eastAsia="仿宋_GB2312" w:cs="仿宋_GB2312"/>
          <w:kern w:val="2"/>
          <w:sz w:val="30"/>
        </w:rPr>
        <w:t>分）：项目完成率100%、完成及时率100%、质量达标率98%、成本节约率98%。</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6、项目效益（</w:t>
      </w:r>
      <w:r>
        <w:rPr>
          <w:rFonts w:hint="eastAsia" w:ascii="仿宋_GB2312" w:hAnsi="仿宋_GB2312" w:eastAsia="仿宋_GB2312" w:cs="仿宋_GB2312"/>
          <w:color w:val="000000" w:themeColor="text1"/>
          <w:kern w:val="2"/>
          <w:sz w:val="30"/>
        </w:rPr>
        <w:t>19</w:t>
      </w:r>
      <w:r>
        <w:rPr>
          <w:rFonts w:hint="eastAsia" w:ascii="仿宋_GB2312" w:hAnsi="仿宋_GB2312" w:eastAsia="仿宋_GB2312" w:cs="仿宋_GB2312"/>
          <w:kern w:val="2"/>
          <w:sz w:val="30"/>
        </w:rPr>
        <w:t>分）：项目实施对经济效益、社会效益、生态效益都较好，社会公众的满意度及可持续影响力也较好。</w:t>
      </w:r>
    </w:p>
    <w:p>
      <w:pPr>
        <w:spacing w:line="560" w:lineRule="exact"/>
        <w:ind w:firstLine="600" w:firstLineChars="200"/>
      </w:pPr>
      <w:r>
        <w:rPr>
          <w:rFonts w:hint="eastAsia" w:ascii="黑体" w:hAnsi="黑体" w:eastAsia="黑体"/>
        </w:rPr>
        <w:t>五、</w:t>
      </w:r>
      <w:r>
        <w:t>做好项目</w:t>
      </w:r>
      <w:r>
        <w:rPr>
          <w:rFonts w:hint="eastAsia"/>
        </w:rPr>
        <w:t>支出绩效</w:t>
      </w:r>
      <w:r>
        <w:t>实施的跟踪检查工作。定期不定期地对项目实施情况和经费使用情况进行跟踪检查，对能实现预期</w:t>
      </w:r>
      <w:r>
        <w:rPr>
          <w:rFonts w:hint="eastAsia"/>
        </w:rPr>
        <w:t>项目</w:t>
      </w:r>
      <w:r>
        <w:t>绩效目标的项目予以充分肯定，对进展缓慢，预期绩效目标较差的项目，及时进行协调和提出整改措施，确保项目</w:t>
      </w:r>
      <w:r>
        <w:rPr>
          <w:rFonts w:hint="eastAsia"/>
        </w:rPr>
        <w:t>支出绩效</w:t>
      </w:r>
      <w:r>
        <w:t>实施工作正常运行，达到预期绩效目标。</w:t>
      </w:r>
    </w:p>
    <w:p>
      <w:pPr>
        <w:pStyle w:val="4"/>
        <w:shd w:val="clear" w:color="auto" w:fill="FFFFFF"/>
        <w:spacing w:line="560" w:lineRule="exact"/>
        <w:ind w:firstLine="480"/>
        <w:jc w:val="both"/>
        <w:rPr>
          <w:rFonts w:ascii="Times New Roman" w:hAnsi="Times New Roman" w:eastAsia="仿宋_GB2312" w:cs="Times New Roman"/>
          <w:kern w:val="2"/>
          <w:sz w:val="30"/>
        </w:rPr>
      </w:pPr>
      <w:r>
        <w:rPr>
          <w:rFonts w:hint="eastAsia" w:ascii="黑体" w:hAnsi="黑体" w:eastAsia="黑体" w:cs="黑体"/>
          <w:kern w:val="2"/>
          <w:sz w:val="30"/>
        </w:rPr>
        <w:t>六、</w:t>
      </w:r>
      <w:r>
        <w:t>1</w:t>
      </w:r>
      <w:r>
        <w:rPr>
          <w:rFonts w:ascii="Times New Roman" w:hAnsi="Times New Roman" w:eastAsia="仿宋_GB2312" w:cs="Times New Roman"/>
          <w:kern w:val="2"/>
          <w:sz w:val="30"/>
        </w:rPr>
        <w:t>、进一步健全和完善财务管理制度及内部控制制度，创新管理手段，用新思路、新方法，改进完善财务管理方法。</w:t>
      </w:r>
    </w:p>
    <w:p>
      <w:pPr>
        <w:pStyle w:val="4"/>
        <w:shd w:val="clear" w:color="auto" w:fill="FFFFFF"/>
        <w:spacing w:line="560" w:lineRule="exact"/>
        <w:ind w:firstLine="480"/>
        <w:jc w:val="both"/>
        <w:rPr>
          <w:rFonts w:ascii="Times New Roman" w:hAnsi="Times New Roman" w:eastAsia="仿宋_GB2312" w:cs="Times New Roman"/>
          <w:kern w:val="2"/>
          <w:sz w:val="30"/>
        </w:rPr>
      </w:pPr>
      <w:r>
        <w:rPr>
          <w:rFonts w:ascii="Times New Roman" w:hAnsi="Times New Roman" w:eastAsia="仿宋_GB2312" w:cs="Times New Roman"/>
          <w:kern w:val="2"/>
          <w:sz w:val="30"/>
        </w:rPr>
        <w:t>2、按照财政支出绩效管理的要求，建立科学的财政资金效益考评制度体系，不断提高财政资金使用管理的水平和效率。</w:t>
      </w:r>
    </w:p>
    <w:p>
      <w:pPr>
        <w:spacing w:line="560" w:lineRule="exact"/>
        <w:ind w:firstLine="600" w:firstLineChars="200"/>
        <w:rPr>
          <w:rFonts w:ascii="仿宋_GB2312"/>
          <w:bCs/>
          <w:sz w:val="32"/>
          <w:szCs w:val="32"/>
        </w:rPr>
      </w:pPr>
      <w:r>
        <w:rPr>
          <w:rFonts w:hint="eastAsia" w:ascii="黑体" w:hAnsi="黑体" w:eastAsia="黑体"/>
        </w:rPr>
        <w:t>七、其他需要说明的问题</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35AC9"/>
    <w:rsid w:val="0000547C"/>
    <w:rsid w:val="0004661E"/>
    <w:rsid w:val="000572D0"/>
    <w:rsid w:val="000B4E42"/>
    <w:rsid w:val="00102F2F"/>
    <w:rsid w:val="001A637B"/>
    <w:rsid w:val="00215902"/>
    <w:rsid w:val="002B7095"/>
    <w:rsid w:val="00315A35"/>
    <w:rsid w:val="00320B66"/>
    <w:rsid w:val="00323AB8"/>
    <w:rsid w:val="003457C7"/>
    <w:rsid w:val="00397D07"/>
    <w:rsid w:val="003B7C1D"/>
    <w:rsid w:val="003E461C"/>
    <w:rsid w:val="0041590E"/>
    <w:rsid w:val="0043448B"/>
    <w:rsid w:val="004B411D"/>
    <w:rsid w:val="00535AC9"/>
    <w:rsid w:val="005413AA"/>
    <w:rsid w:val="00572277"/>
    <w:rsid w:val="00581A9F"/>
    <w:rsid w:val="007E1E38"/>
    <w:rsid w:val="00802DDA"/>
    <w:rsid w:val="0080585E"/>
    <w:rsid w:val="00851ECE"/>
    <w:rsid w:val="00896D6B"/>
    <w:rsid w:val="008A75AE"/>
    <w:rsid w:val="00900E62"/>
    <w:rsid w:val="009874A6"/>
    <w:rsid w:val="009B7A9B"/>
    <w:rsid w:val="00A24300"/>
    <w:rsid w:val="00A3795F"/>
    <w:rsid w:val="00AA178A"/>
    <w:rsid w:val="00AC11EB"/>
    <w:rsid w:val="00D219FA"/>
    <w:rsid w:val="00DF25FC"/>
    <w:rsid w:val="00E214F8"/>
    <w:rsid w:val="00E3118B"/>
    <w:rsid w:val="00ED1B27"/>
    <w:rsid w:val="015F0FAE"/>
    <w:rsid w:val="12492921"/>
    <w:rsid w:val="18494747"/>
    <w:rsid w:val="278A0AA1"/>
    <w:rsid w:val="3DD01349"/>
    <w:rsid w:val="417204BD"/>
    <w:rsid w:val="431C6499"/>
    <w:rsid w:val="454B02C3"/>
    <w:rsid w:val="50234BE6"/>
    <w:rsid w:val="71426820"/>
    <w:rsid w:val="75733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jc w:val="left"/>
    </w:pPr>
    <w:rPr>
      <w:rFonts w:ascii="微软雅黑" w:hAnsi="微软雅黑" w:eastAsia="宋体" w:cs="宋体"/>
      <w:kern w:val="0"/>
      <w:sz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369</Words>
  <Characters>2107</Characters>
  <Lines>17</Lines>
  <Paragraphs>4</Paragraphs>
  <TotalTime>2</TotalTime>
  <ScaleCrop>false</ScaleCrop>
  <LinksUpToDate>false</LinksUpToDate>
  <CharactersWithSpaces>2472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2020-04-01T05:41:00Z</dcterms:created>
  <dc:creator>CurUserName</dc:creator>
  <cp:lastModifiedBy>Administrator</cp:lastModifiedBy>
  <cp:lastPrinted>2020-04-20T03:47:00Z</cp:lastPrinted>
  <dcterms:modified xsi:type="dcterms:W3CDTF">2021-05-29T13:20:12Z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