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E8D985">
      <w:pPr>
        <w:keepNext w:val="0"/>
        <w:keepLines w:val="0"/>
        <w:pageBreakBefore w:val="0"/>
        <w:widowControl w:val="0"/>
        <w:kinsoku/>
        <w:wordWrap/>
        <w:overflowPunct/>
        <w:topLinePunct w:val="0"/>
        <w:bidi w:val="0"/>
        <w:spacing w:line="360" w:lineRule="auto"/>
        <w:ind w:firstLine="0" w:firstLineChars="0"/>
        <w:jc w:val="both"/>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和静县东归博物馆项目支出绩效评价</w:t>
      </w:r>
    </w:p>
    <w:p w14:paraId="7A965501">
      <w:pPr>
        <w:keepNext w:val="0"/>
        <w:keepLines w:val="0"/>
        <w:pageBreakBefore w:val="0"/>
        <w:widowControl w:val="0"/>
        <w:kinsoku/>
        <w:wordWrap/>
        <w:overflowPunct/>
        <w:topLinePunct w:val="0"/>
        <w:bidi w:val="0"/>
        <w:spacing w:line="360" w:lineRule="auto"/>
        <w:ind w:firstLine="3640" w:firstLineChars="700"/>
        <w:jc w:val="both"/>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报告</w:t>
      </w:r>
    </w:p>
    <w:p w14:paraId="1D36F39C">
      <w:pPr>
        <w:pStyle w:val="2"/>
        <w:rPr>
          <w:rFonts w:hint="eastAsia"/>
          <w:color w:val="auto"/>
          <w:highlight w:val="none"/>
          <w:lang w:val="en-US" w:eastAsia="zh-CN"/>
        </w:rPr>
      </w:pPr>
    </w:p>
    <w:p w14:paraId="378DC11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28773307">
      <w:pPr>
        <w:spacing w:line="240" w:lineRule="atLeast"/>
        <w:jc w:val="center"/>
        <w:rPr>
          <w:rFonts w:ascii="宋体" w:hAnsi="宋体" w:eastAsia="宋体" w:cs="Arial"/>
          <w:b/>
          <w:bCs/>
          <w:color w:val="auto"/>
          <w:sz w:val="36"/>
          <w:szCs w:val="36"/>
          <w:highlight w:val="none"/>
        </w:rPr>
      </w:pPr>
    </w:p>
    <w:p w14:paraId="6A2D30F0">
      <w:pPr>
        <w:spacing w:line="240" w:lineRule="atLeast"/>
        <w:jc w:val="center"/>
        <w:rPr>
          <w:rFonts w:ascii="宋体" w:hAnsi="宋体" w:eastAsia="宋体" w:cs="Arial"/>
          <w:b/>
          <w:bCs/>
          <w:color w:val="auto"/>
          <w:sz w:val="36"/>
          <w:szCs w:val="36"/>
          <w:highlight w:val="none"/>
        </w:rPr>
      </w:pPr>
    </w:p>
    <w:p w14:paraId="1607696F">
      <w:pPr>
        <w:spacing w:line="240" w:lineRule="atLeast"/>
        <w:jc w:val="center"/>
        <w:rPr>
          <w:rFonts w:ascii="宋体" w:hAnsi="宋体" w:eastAsia="宋体" w:cs="Arial"/>
          <w:b/>
          <w:bCs/>
          <w:color w:val="auto"/>
          <w:sz w:val="36"/>
          <w:szCs w:val="36"/>
          <w:highlight w:val="none"/>
        </w:rPr>
      </w:pPr>
    </w:p>
    <w:p w14:paraId="6B2F1529">
      <w:pPr>
        <w:spacing w:line="240" w:lineRule="atLeast"/>
        <w:jc w:val="center"/>
        <w:rPr>
          <w:rFonts w:ascii="宋体" w:hAnsi="宋体" w:eastAsia="宋体" w:cs="Arial"/>
          <w:b/>
          <w:bCs/>
          <w:color w:val="auto"/>
          <w:sz w:val="36"/>
          <w:szCs w:val="36"/>
          <w:highlight w:val="none"/>
        </w:rPr>
      </w:pPr>
    </w:p>
    <w:p w14:paraId="12667F36">
      <w:pPr>
        <w:spacing w:line="240" w:lineRule="atLeast"/>
        <w:jc w:val="center"/>
        <w:rPr>
          <w:rFonts w:ascii="宋体" w:hAnsi="宋体" w:eastAsia="宋体" w:cs="Arial"/>
          <w:b/>
          <w:bCs/>
          <w:color w:val="auto"/>
          <w:sz w:val="36"/>
          <w:szCs w:val="36"/>
          <w:highlight w:val="none"/>
        </w:rPr>
      </w:pPr>
    </w:p>
    <w:p w14:paraId="1F1BBAA7">
      <w:pPr>
        <w:spacing w:line="240" w:lineRule="auto"/>
        <w:jc w:val="center"/>
        <w:rPr>
          <w:rFonts w:ascii="宋体" w:hAnsi="宋体" w:eastAsia="宋体" w:cs="Arial"/>
          <w:b/>
          <w:bCs/>
          <w:color w:val="auto"/>
          <w:sz w:val="36"/>
          <w:szCs w:val="36"/>
          <w:highlight w:val="none"/>
        </w:rPr>
      </w:pPr>
    </w:p>
    <w:p w14:paraId="0AAC3554">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项目名称：2023年博物馆纪念馆逐步免费开放专项资金</w:t>
      </w:r>
    </w:p>
    <w:p w14:paraId="1CDAE494">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实施单位（公章）：和静县东归博物馆</w:t>
      </w:r>
      <w:r>
        <w:rPr>
          <w:rFonts w:hint="eastAsia" w:ascii="黑体" w:eastAsia="黑体"/>
          <w:color w:val="auto"/>
          <w:sz w:val="30"/>
          <w:szCs w:val="30"/>
          <w:highlight w:val="none"/>
          <w:lang w:eastAsia="zh-CN"/>
        </w:rPr>
        <w:t>（</w:t>
      </w:r>
      <w:r>
        <w:rPr>
          <w:rFonts w:hint="eastAsia" w:ascii="黑体" w:eastAsia="黑体"/>
          <w:color w:val="auto"/>
          <w:sz w:val="30"/>
          <w:szCs w:val="30"/>
          <w:highlight w:val="none"/>
        </w:rPr>
        <w:t>和静县文物管理所）</w:t>
      </w:r>
    </w:p>
    <w:p w14:paraId="6C6C6713">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才仁加甫</w:t>
      </w:r>
    </w:p>
    <w:p w14:paraId="2CE78226">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105BEBE6">
      <w:pPr>
        <w:ind w:firstLine="0" w:firstLineChars="0"/>
        <w:jc w:val="center"/>
        <w:rPr>
          <w:b/>
          <w:bCs/>
          <w:color w:val="auto"/>
          <w:sz w:val="32"/>
          <w:szCs w:val="28"/>
          <w:highlight w:val="none"/>
        </w:rPr>
      </w:pPr>
      <w:r>
        <w:rPr>
          <w:rFonts w:hint="eastAsia" w:ascii="黑体" w:eastAsia="黑体"/>
          <w:color w:val="auto"/>
          <w:sz w:val="30"/>
          <w:szCs w:val="30"/>
          <w:highlight w:val="none"/>
        </w:rPr>
        <w:t>和静县东归博物馆</w:t>
      </w:r>
      <w:r>
        <w:rPr>
          <w:rFonts w:hint="eastAsia"/>
          <w:b/>
          <w:bCs/>
          <w:color w:val="auto"/>
          <w:sz w:val="32"/>
          <w:szCs w:val="28"/>
          <w:highlight w:val="none"/>
        </w:rPr>
        <w:t>项目支出绩效评价报告</w:t>
      </w:r>
    </w:p>
    <w:p w14:paraId="494E0E59">
      <w:pPr>
        <w:pStyle w:val="3"/>
        <w:ind w:firstLine="643"/>
        <w:rPr>
          <w:color w:val="auto"/>
          <w:highlight w:val="none"/>
        </w:rPr>
      </w:pPr>
      <w:r>
        <w:rPr>
          <w:rFonts w:hint="eastAsia"/>
          <w:color w:val="auto"/>
          <w:highlight w:val="none"/>
        </w:rPr>
        <w:t>一、基本情况</w:t>
      </w:r>
    </w:p>
    <w:p w14:paraId="1C9DD7A4">
      <w:pPr>
        <w:pStyle w:val="4"/>
        <w:ind w:firstLine="643"/>
        <w:rPr>
          <w:color w:val="auto"/>
          <w:highlight w:val="none"/>
        </w:rPr>
      </w:pPr>
      <w:r>
        <w:rPr>
          <w:rFonts w:hint="eastAsia"/>
          <w:color w:val="auto"/>
          <w:highlight w:val="none"/>
        </w:rPr>
        <w:t>（一）项目概况</w:t>
      </w:r>
    </w:p>
    <w:p w14:paraId="1D10C297">
      <w:pPr>
        <w:pStyle w:val="2"/>
        <w:ind w:firstLine="562"/>
        <w:rPr>
          <w:color w:val="auto"/>
          <w:highlight w:val="none"/>
        </w:rPr>
      </w:pPr>
      <w:r>
        <w:rPr>
          <w:rFonts w:hint="eastAsia"/>
          <w:color w:val="auto"/>
          <w:highlight w:val="none"/>
        </w:rPr>
        <w:t>1.项目背景</w:t>
      </w:r>
    </w:p>
    <w:p w14:paraId="291B2025">
      <w:pPr>
        <w:ind w:firstLine="560"/>
        <w:rPr>
          <w:color w:val="auto"/>
          <w:highlight w:val="none"/>
        </w:rPr>
      </w:pPr>
      <w:r>
        <w:rPr>
          <w:rFonts w:hint="eastAsia"/>
          <w:color w:val="auto"/>
          <w:highlight w:val="none"/>
          <w:lang w:eastAsia="zh-CN"/>
        </w:rPr>
        <w:t>根据</w:t>
      </w:r>
      <w:r>
        <w:rPr>
          <w:rFonts w:hint="eastAsia"/>
          <w:color w:val="auto"/>
          <w:highlight w:val="none"/>
        </w:rPr>
        <w:t>新财教〔2022〕143号巴财教〔2022〕60号关于提前下达2023年中央补助地方博物馆纪念馆免费开放补助资金的通知</w:t>
      </w:r>
      <w:r>
        <w:rPr>
          <w:rFonts w:hint="eastAsia"/>
          <w:color w:val="auto"/>
          <w:highlight w:val="none"/>
          <w:lang w:eastAsia="zh-CN"/>
        </w:rPr>
        <w:t>文件要求，</w:t>
      </w:r>
      <w:r>
        <w:rPr>
          <w:rFonts w:hint="eastAsia"/>
          <w:color w:val="auto"/>
          <w:highlight w:val="none"/>
        </w:rPr>
        <w:t>2023年免费开放专项资金用于6个展厅及满汗王府旧址陈列展厅日常维护，发放4个聘用人员工资及社保，开展5.18流动博物馆活动，实现全年365天免费开放达到丰富群众文化知识，培养青少年的爱国主义情操，不断弘扬传承优秀传统文化，大力培育社会主义核心价值观，有效保障各族群众精神文化需求，促进社会和谐稳定的成效。</w:t>
      </w:r>
    </w:p>
    <w:p w14:paraId="731CD899">
      <w:pPr>
        <w:pStyle w:val="2"/>
        <w:ind w:firstLine="562"/>
        <w:rPr>
          <w:color w:val="auto"/>
          <w:highlight w:val="none"/>
        </w:rPr>
      </w:pPr>
      <w:r>
        <w:rPr>
          <w:rFonts w:hint="eastAsia"/>
          <w:color w:val="auto"/>
          <w:highlight w:val="none"/>
        </w:rPr>
        <w:t>2.主要内容</w:t>
      </w:r>
    </w:p>
    <w:p w14:paraId="0552AD31">
      <w:pPr>
        <w:ind w:firstLine="560"/>
        <w:rPr>
          <w:rFonts w:hint="eastAsia"/>
          <w:color w:val="auto"/>
          <w:highlight w:val="none"/>
          <w:lang w:val="en-US" w:eastAsia="zh-CN"/>
        </w:rPr>
      </w:pPr>
      <w:r>
        <w:rPr>
          <w:rFonts w:hint="eastAsia"/>
          <w:color w:val="auto"/>
          <w:highlight w:val="none"/>
          <w:lang w:val="en-US" w:eastAsia="zh-CN"/>
        </w:rPr>
        <w:t>项目名称：2023年博物馆纪念馆逐步免费开放专项资金</w:t>
      </w:r>
    </w:p>
    <w:p w14:paraId="5BB28CE0">
      <w:pPr>
        <w:ind w:firstLine="560"/>
        <w:rPr>
          <w:color w:val="auto"/>
          <w:highlight w:val="none"/>
        </w:rPr>
      </w:pPr>
      <w:r>
        <w:rPr>
          <w:rFonts w:hint="eastAsia"/>
          <w:color w:val="auto"/>
          <w:highlight w:val="none"/>
          <w:lang w:val="en-US" w:eastAsia="zh-CN"/>
        </w:rPr>
        <w:t>项目主要内容：2023年免费开放专项资金用于6个展厅及满汗王府旧址陈列展厅日常维护，发放4个聘用人员工资及社保，开展5.18流动博物馆活动，实现全年365天免费开放达到丰富群众文化知识，培养青少年的爱国主义情操，不断弘扬传承优秀传统文化，大力培育社会主义核心价值观，有效保障各族群众精神文化需求，促进社会和谐稳定的成效。</w:t>
      </w:r>
    </w:p>
    <w:p w14:paraId="4A208CB5">
      <w:pPr>
        <w:pStyle w:val="2"/>
        <w:ind w:firstLine="562"/>
        <w:jc w:val="left"/>
        <w:rPr>
          <w:color w:val="auto"/>
          <w:highlight w:val="none"/>
        </w:rPr>
      </w:pPr>
      <w:r>
        <w:rPr>
          <w:rFonts w:hint="eastAsia"/>
          <w:color w:val="auto"/>
          <w:highlight w:val="none"/>
        </w:rPr>
        <w:t>3.实施情况</w:t>
      </w:r>
    </w:p>
    <w:p w14:paraId="35F60DAB">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和静县东归博物馆</w:t>
      </w:r>
      <w:r>
        <w:rPr>
          <w:rFonts w:hint="eastAsia"/>
          <w:color w:val="auto"/>
          <w:highlight w:val="none"/>
          <w:lang w:eastAsia="zh-CN"/>
        </w:rPr>
        <w:t>（</w:t>
      </w:r>
      <w:r>
        <w:rPr>
          <w:rFonts w:hint="eastAsia"/>
          <w:color w:val="auto"/>
          <w:highlight w:val="none"/>
        </w:rPr>
        <w:t>和静县文物管理所）</w:t>
      </w:r>
      <w:r>
        <w:rPr>
          <w:color w:val="auto"/>
          <w:highlight w:val="none"/>
        </w:rPr>
        <w:t>。</w:t>
      </w:r>
    </w:p>
    <w:p w14:paraId="3D9B2BD8">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03384016">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为了6个展厅及满汗王府旧址陈列展厅日常维护，按时发放4个聘用人员工资及社保，保障免费开放人力保障，开展5.18流动博物馆活动，实现全年365天免费开放达到丰富群众文化知识，培养青少年的爱国主义情操，不断弘扬传承优秀传统文化，大力培育社会主义核心价值观，有效保障各族群众精神文化需求，促进社会和谐稳定的成效。</w:t>
      </w:r>
    </w:p>
    <w:p w14:paraId="71628B52">
      <w:pPr>
        <w:pStyle w:val="2"/>
        <w:ind w:firstLine="562"/>
        <w:rPr>
          <w:color w:val="auto"/>
          <w:highlight w:val="none"/>
        </w:rPr>
      </w:pPr>
      <w:r>
        <w:rPr>
          <w:rFonts w:hint="eastAsia"/>
          <w:color w:val="auto"/>
          <w:highlight w:val="none"/>
        </w:rPr>
        <w:t>4.资金投入和使用情况</w:t>
      </w:r>
    </w:p>
    <w:p w14:paraId="64FFF51D">
      <w:pPr>
        <w:ind w:firstLine="560"/>
        <w:rPr>
          <w:color w:val="auto"/>
          <w:highlight w:val="none"/>
        </w:rPr>
      </w:pPr>
      <w:r>
        <w:rPr>
          <w:rFonts w:hint="eastAsia"/>
          <w:color w:val="auto"/>
          <w:highlight w:val="none"/>
        </w:rPr>
        <w:t>（1）项目资金安排落实、总投入等情况分析</w:t>
      </w:r>
    </w:p>
    <w:p w14:paraId="28915A98">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30</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30</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7DF02027">
      <w:pPr>
        <w:ind w:firstLine="560"/>
        <w:rPr>
          <w:color w:val="auto"/>
          <w:highlight w:val="none"/>
        </w:rPr>
      </w:pPr>
      <w:r>
        <w:rPr>
          <w:rFonts w:hint="eastAsia"/>
          <w:color w:val="auto"/>
          <w:highlight w:val="none"/>
        </w:rPr>
        <w:t>（2）项目资金实际使用情况分析</w:t>
      </w:r>
    </w:p>
    <w:p w14:paraId="465AC9E0">
      <w:pPr>
        <w:ind w:firstLine="560"/>
        <w:rPr>
          <w:color w:val="auto"/>
          <w:highlight w:val="none"/>
        </w:rPr>
      </w:pPr>
      <w:r>
        <w:rPr>
          <w:rFonts w:hint="eastAsia"/>
          <w:color w:val="auto"/>
          <w:highlight w:val="none"/>
          <w:lang w:val="en-US" w:eastAsia="zh-CN"/>
        </w:rPr>
        <w:t>截至2023年12月31日，本项目实际支出19.79万元</w:t>
      </w:r>
      <w:r>
        <w:rPr>
          <w:rFonts w:hint="eastAsia"/>
          <w:color w:val="auto"/>
          <w:highlight w:val="none"/>
        </w:rPr>
        <w:t>，预算执行率</w:t>
      </w:r>
      <w:r>
        <w:rPr>
          <w:rFonts w:hint="eastAsia"/>
          <w:color w:val="auto"/>
          <w:highlight w:val="none"/>
          <w:lang w:val="en-US" w:eastAsia="zh-CN"/>
        </w:rPr>
        <w:t>66</w:t>
      </w:r>
      <w:r>
        <w:rPr>
          <w:color w:val="auto"/>
          <w:highlight w:val="none"/>
        </w:rPr>
        <w:t>%</w:t>
      </w:r>
      <w:r>
        <w:rPr>
          <w:rFonts w:hint="eastAsia"/>
          <w:color w:val="auto"/>
          <w:highlight w:val="none"/>
        </w:rPr>
        <w:t>（</w:t>
      </w:r>
      <w:r>
        <w:rPr>
          <w:rFonts w:hint="eastAsia"/>
          <w:color w:val="auto"/>
          <w:highlight w:val="none"/>
          <w:lang w:eastAsia="zh-CN"/>
        </w:rPr>
        <w:t>本年度</w:t>
      </w:r>
      <w:r>
        <w:rPr>
          <w:rFonts w:hint="eastAsia"/>
          <w:color w:val="auto"/>
          <w:highlight w:val="none"/>
        </w:rPr>
        <w:t>中央补助地方博物馆纪念馆免费开放补助资金结转额度</w:t>
      </w:r>
      <w:r>
        <w:rPr>
          <w:rFonts w:hint="eastAsia"/>
          <w:color w:val="auto"/>
          <w:highlight w:val="none"/>
          <w:lang w:eastAsia="zh-CN"/>
        </w:rPr>
        <w:t>为</w:t>
      </w:r>
      <w:r>
        <w:rPr>
          <w:rFonts w:hint="eastAsia"/>
          <w:color w:val="auto"/>
          <w:highlight w:val="none"/>
          <w:lang w:val="en-US" w:eastAsia="zh-CN"/>
        </w:rPr>
        <w:t>10.21万元</w:t>
      </w:r>
      <w:r>
        <w:rPr>
          <w:rFonts w:hint="eastAsia"/>
          <w:color w:val="auto"/>
          <w:highlight w:val="none"/>
        </w:rPr>
        <w:t>）。本项目资金主要用于支付聘用人员工资及社保费用</w:t>
      </w:r>
      <w:r>
        <w:rPr>
          <w:rFonts w:hint="eastAsia"/>
          <w:color w:val="auto"/>
          <w:highlight w:val="none"/>
          <w:lang w:val="en-US" w:eastAsia="zh-CN"/>
        </w:rPr>
        <w:t>17</w:t>
      </w:r>
      <w:r>
        <w:rPr>
          <w:rFonts w:hint="eastAsia"/>
          <w:color w:val="auto"/>
          <w:highlight w:val="none"/>
        </w:rPr>
        <w:t>万元、展厅日常维护及经费活动费用</w:t>
      </w:r>
      <w:r>
        <w:rPr>
          <w:rFonts w:hint="eastAsia"/>
          <w:color w:val="auto"/>
          <w:highlight w:val="none"/>
          <w:lang w:val="en-US" w:eastAsia="zh-CN"/>
        </w:rPr>
        <w:t>13</w:t>
      </w:r>
      <w:r>
        <w:rPr>
          <w:rFonts w:hint="eastAsia"/>
          <w:color w:val="auto"/>
          <w:highlight w:val="none"/>
        </w:rPr>
        <w:t>万元。</w:t>
      </w:r>
    </w:p>
    <w:p w14:paraId="6139A89A">
      <w:pPr>
        <w:pStyle w:val="4"/>
        <w:numPr>
          <w:ilvl w:val="0"/>
          <w:numId w:val="2"/>
        </w:numPr>
        <w:ind w:firstLine="643"/>
        <w:rPr>
          <w:color w:val="auto"/>
          <w:highlight w:val="none"/>
        </w:rPr>
      </w:pPr>
      <w:r>
        <w:rPr>
          <w:rFonts w:hint="eastAsia"/>
          <w:color w:val="auto"/>
          <w:highlight w:val="none"/>
        </w:rPr>
        <w:t>项目绩效目标</w:t>
      </w:r>
    </w:p>
    <w:p w14:paraId="6F9E721E">
      <w:pPr>
        <w:pStyle w:val="2"/>
        <w:ind w:firstLine="562"/>
        <w:rPr>
          <w:color w:val="auto"/>
          <w:highlight w:val="none"/>
        </w:rPr>
      </w:pPr>
      <w:r>
        <w:rPr>
          <w:rFonts w:hint="eastAsia"/>
          <w:color w:val="auto"/>
          <w:highlight w:val="none"/>
        </w:rPr>
        <w:t>1.总体目标</w:t>
      </w:r>
    </w:p>
    <w:p w14:paraId="479DF389">
      <w:pPr>
        <w:ind w:firstLine="560"/>
        <w:rPr>
          <w:rFonts w:hint="eastAsia"/>
          <w:color w:val="auto"/>
          <w:highlight w:val="none"/>
        </w:rPr>
      </w:pPr>
      <w:r>
        <w:rPr>
          <w:rFonts w:hint="eastAsia"/>
          <w:color w:val="auto"/>
          <w:highlight w:val="none"/>
        </w:rPr>
        <w:t>目标1</w:t>
      </w:r>
      <w:r>
        <w:rPr>
          <w:rFonts w:hint="eastAsia"/>
          <w:color w:val="auto"/>
          <w:highlight w:val="none"/>
          <w:lang w:eastAsia="zh-CN"/>
        </w:rPr>
        <w:t>:</w:t>
      </w:r>
      <w:r>
        <w:rPr>
          <w:rFonts w:hint="eastAsia"/>
          <w:color w:val="auto"/>
          <w:highlight w:val="none"/>
        </w:rPr>
        <w:t>2023年免费开放专项资金用于6个展厅及满汗王府旧址陈列展厅日常维护，发放4个聘用人员工资及社保，开展5.18流动博物馆活动，实现全年365天免费开放达到丰富群众文化知识。                                               目标2：培养青少年的爱国主义情操，不断弘扬传承优秀传统文化，大力培育社会主义核心价值观，有效保障各族群众精神文化需求，促进社会和谐稳定的成效。</w:t>
      </w:r>
    </w:p>
    <w:p w14:paraId="47DB50D7">
      <w:pPr>
        <w:pStyle w:val="2"/>
        <w:ind w:firstLine="562"/>
        <w:rPr>
          <w:color w:val="auto"/>
          <w:highlight w:val="none"/>
        </w:rPr>
      </w:pPr>
      <w:r>
        <w:rPr>
          <w:rFonts w:hint="eastAsia"/>
          <w:color w:val="auto"/>
          <w:highlight w:val="none"/>
        </w:rPr>
        <w:t>2.阶段性目标</w:t>
      </w:r>
    </w:p>
    <w:p w14:paraId="52C7D722">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58810B2C">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367A7FB5">
      <w:pPr>
        <w:ind w:firstLine="560"/>
        <w:rPr>
          <w:color w:val="auto"/>
          <w:highlight w:val="none"/>
        </w:rPr>
      </w:pPr>
      <w:r>
        <w:rPr>
          <w:rFonts w:hint="eastAsia"/>
          <w:color w:val="auto"/>
          <w:highlight w:val="none"/>
        </w:rPr>
        <w:t>①数量指标</w:t>
      </w:r>
    </w:p>
    <w:p w14:paraId="2247ABB5">
      <w:pPr>
        <w:ind w:firstLine="560"/>
        <w:rPr>
          <w:rFonts w:hint="eastAsia"/>
          <w:color w:val="auto"/>
          <w:highlight w:val="none"/>
          <w:lang w:val="en-US" w:eastAsia="zh-CN"/>
        </w:rPr>
      </w:pPr>
      <w:r>
        <w:rPr>
          <w:rFonts w:hint="eastAsia"/>
          <w:color w:val="auto"/>
          <w:highlight w:val="none"/>
          <w:lang w:val="en-US" w:eastAsia="zh-CN"/>
        </w:rPr>
        <w:t>“经费运行场馆”指标，预期指标值为=1家。</w:t>
      </w:r>
    </w:p>
    <w:p w14:paraId="7DABD548">
      <w:pPr>
        <w:ind w:firstLine="560"/>
        <w:rPr>
          <w:rFonts w:hint="eastAsia"/>
          <w:color w:val="auto"/>
          <w:highlight w:val="none"/>
          <w:lang w:val="en-US" w:eastAsia="zh-CN"/>
        </w:rPr>
      </w:pPr>
      <w:r>
        <w:rPr>
          <w:rFonts w:hint="eastAsia"/>
          <w:color w:val="auto"/>
          <w:highlight w:val="none"/>
          <w:lang w:val="en-US" w:eastAsia="zh-CN"/>
        </w:rPr>
        <w:t>“开展纪念日及教育活动”指标，预期指标值为</w:t>
      </w:r>
      <w:r>
        <w:rPr>
          <w:rFonts w:hint="eastAsia" w:ascii="宋体" w:hAnsi="宋体" w:eastAsia="宋体" w:cs="宋体"/>
          <w:color w:val="auto"/>
          <w:highlight w:val="none"/>
          <w:lang w:val="en-US" w:eastAsia="zh-CN"/>
        </w:rPr>
        <w:t>≧</w:t>
      </w:r>
      <w:r>
        <w:rPr>
          <w:rFonts w:hint="eastAsia"/>
          <w:color w:val="auto"/>
          <w:highlight w:val="none"/>
          <w:lang w:val="en-US" w:eastAsia="zh-CN"/>
        </w:rPr>
        <w:t>60场/次。</w:t>
      </w:r>
    </w:p>
    <w:p w14:paraId="77E725FE">
      <w:pPr>
        <w:ind w:firstLine="560"/>
        <w:rPr>
          <w:color w:val="auto"/>
          <w:highlight w:val="none"/>
        </w:rPr>
      </w:pPr>
      <w:r>
        <w:rPr>
          <w:rFonts w:hint="eastAsia"/>
          <w:color w:val="auto"/>
          <w:highlight w:val="none"/>
        </w:rPr>
        <w:t>②质量指标</w:t>
      </w:r>
    </w:p>
    <w:p w14:paraId="51A6D2A3">
      <w:pPr>
        <w:ind w:firstLine="560"/>
        <w:rPr>
          <w:rFonts w:hint="eastAsia"/>
          <w:color w:val="auto"/>
          <w:highlight w:val="none"/>
          <w:lang w:val="en-US" w:eastAsia="zh-CN"/>
        </w:rPr>
      </w:pPr>
      <w:r>
        <w:rPr>
          <w:rFonts w:hint="eastAsia"/>
          <w:color w:val="auto"/>
          <w:highlight w:val="none"/>
          <w:lang w:val="en-US" w:eastAsia="zh-CN"/>
        </w:rPr>
        <w:t>“免费开放绩效考评率”指标，预期指标值为</w:t>
      </w:r>
      <w:r>
        <w:rPr>
          <w:rFonts w:hint="eastAsia" w:ascii="宋体" w:hAnsi="宋体" w:eastAsia="宋体" w:cs="宋体"/>
          <w:color w:val="auto"/>
          <w:highlight w:val="none"/>
          <w:lang w:val="en-US" w:eastAsia="zh-CN"/>
        </w:rPr>
        <w:t>≧</w:t>
      </w:r>
      <w:r>
        <w:rPr>
          <w:rFonts w:hint="eastAsia"/>
          <w:color w:val="auto"/>
          <w:highlight w:val="none"/>
          <w:lang w:val="en-US" w:eastAsia="zh-CN"/>
        </w:rPr>
        <w:t>95%。</w:t>
      </w:r>
    </w:p>
    <w:p w14:paraId="1CA54827">
      <w:pPr>
        <w:pStyle w:val="2"/>
        <w:rPr>
          <w:b w:val="0"/>
          <w:bCs w:val="0"/>
          <w:color w:val="auto"/>
          <w:highlight w:val="none"/>
        </w:rPr>
      </w:pPr>
      <w:r>
        <w:rPr>
          <w:rFonts w:hint="eastAsia"/>
          <w:b w:val="0"/>
          <w:bCs w:val="0"/>
          <w:color w:val="auto"/>
          <w:highlight w:val="none"/>
          <w:lang w:val="en-US" w:eastAsia="zh-CN"/>
        </w:rPr>
        <w:t>“开展活动率”指标，预期指标值为</w:t>
      </w:r>
      <w:r>
        <w:rPr>
          <w:rFonts w:hint="eastAsia" w:ascii="宋体" w:hAnsi="宋体" w:eastAsia="宋体" w:cs="宋体"/>
          <w:b w:val="0"/>
          <w:bCs w:val="0"/>
          <w:color w:val="auto"/>
          <w:highlight w:val="none"/>
          <w:lang w:val="en-US" w:eastAsia="zh-CN"/>
        </w:rPr>
        <w:t>≧</w:t>
      </w:r>
      <w:r>
        <w:rPr>
          <w:rFonts w:hint="eastAsia"/>
          <w:b w:val="0"/>
          <w:bCs w:val="0"/>
          <w:color w:val="auto"/>
          <w:highlight w:val="none"/>
          <w:lang w:val="en-US" w:eastAsia="zh-CN"/>
        </w:rPr>
        <w:t>95%。</w:t>
      </w:r>
    </w:p>
    <w:p w14:paraId="170BD8EC">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35D0A7B2">
      <w:pPr>
        <w:ind w:firstLine="560"/>
        <w:rPr>
          <w:color w:val="auto"/>
          <w:highlight w:val="none"/>
        </w:rPr>
      </w:pPr>
      <w:r>
        <w:rPr>
          <w:rFonts w:hint="eastAsia"/>
          <w:color w:val="auto"/>
          <w:highlight w:val="none"/>
        </w:rPr>
        <w:t>“全年免费开放天数”指标，预期指标值为</w:t>
      </w:r>
      <w:r>
        <w:rPr>
          <w:rFonts w:hint="eastAsia" w:ascii="宋体" w:hAnsi="宋体" w:eastAsia="宋体" w:cs="宋体"/>
          <w:color w:val="auto"/>
          <w:highlight w:val="none"/>
        </w:rPr>
        <w:t>≧</w:t>
      </w:r>
      <w:r>
        <w:rPr>
          <w:rFonts w:hint="eastAsia"/>
          <w:color w:val="auto"/>
          <w:highlight w:val="none"/>
          <w:lang w:val="en-US" w:eastAsia="zh-CN"/>
        </w:rPr>
        <w:t>330天。</w:t>
      </w:r>
    </w:p>
    <w:p w14:paraId="095ED566">
      <w:pPr>
        <w:ind w:firstLine="560"/>
        <w:rPr>
          <w:rFonts w:hint="eastAsia" w:eastAsia="仿宋_GB2312"/>
          <w:color w:val="auto"/>
          <w:highlight w:val="none"/>
          <w:lang w:eastAsia="zh-CN"/>
        </w:rPr>
      </w:pPr>
      <w:r>
        <w:rPr>
          <w:rFonts w:hint="eastAsia"/>
          <w:color w:val="auto"/>
          <w:highlight w:val="none"/>
        </w:rPr>
        <w:t>“活动开展及时率”指标，预期指标值为≥95%</w:t>
      </w:r>
      <w:r>
        <w:rPr>
          <w:rFonts w:hint="eastAsia"/>
          <w:color w:val="auto"/>
          <w:highlight w:val="none"/>
          <w:lang w:eastAsia="zh-CN"/>
        </w:rPr>
        <w:t>。</w:t>
      </w:r>
    </w:p>
    <w:p w14:paraId="428B5D39">
      <w:pPr>
        <w:ind w:firstLine="560"/>
        <w:rPr>
          <w:color w:val="auto"/>
          <w:highlight w:val="none"/>
        </w:rPr>
      </w:pPr>
      <w:r>
        <w:rPr>
          <w:rFonts w:hint="eastAsia"/>
          <w:color w:val="auto"/>
          <w:highlight w:val="none"/>
        </w:rPr>
        <w:t>④成本指标</w:t>
      </w:r>
    </w:p>
    <w:p w14:paraId="3C93280F">
      <w:pPr>
        <w:ind w:firstLine="560"/>
        <w:rPr>
          <w:color w:val="auto"/>
          <w:highlight w:val="none"/>
        </w:rPr>
      </w:pPr>
      <w:r>
        <w:rPr>
          <w:rFonts w:hint="eastAsia"/>
          <w:color w:val="auto"/>
          <w:highlight w:val="none"/>
        </w:rPr>
        <w:t>“聘用人员工资及社保”指标，预期指标值为</w:t>
      </w:r>
      <w:r>
        <w:rPr>
          <w:rFonts w:hint="eastAsia" w:ascii="宋体" w:hAnsi="宋体" w:eastAsia="宋体" w:cs="宋体"/>
          <w:color w:val="auto"/>
          <w:highlight w:val="none"/>
        </w:rPr>
        <w:t>≦</w:t>
      </w:r>
      <w:r>
        <w:rPr>
          <w:rFonts w:hint="eastAsia"/>
          <w:color w:val="auto"/>
          <w:highlight w:val="none"/>
          <w:lang w:val="en-US" w:eastAsia="zh-CN"/>
        </w:rPr>
        <w:t>17万元</w:t>
      </w:r>
      <w:r>
        <w:rPr>
          <w:rFonts w:hint="eastAsia"/>
          <w:color w:val="auto"/>
          <w:highlight w:val="none"/>
        </w:rPr>
        <w:t>；</w:t>
      </w:r>
    </w:p>
    <w:p w14:paraId="0E000754">
      <w:pPr>
        <w:ind w:firstLine="560"/>
        <w:rPr>
          <w:color w:val="auto"/>
          <w:highlight w:val="none"/>
        </w:rPr>
      </w:pPr>
      <w:r>
        <w:rPr>
          <w:rFonts w:hint="eastAsia"/>
          <w:color w:val="auto"/>
          <w:highlight w:val="none"/>
        </w:rPr>
        <w:t>“展厅日常维护及经费活动”指标，预期指标值为</w:t>
      </w:r>
      <w:r>
        <w:rPr>
          <w:rFonts w:hint="eastAsia" w:ascii="宋体" w:hAnsi="宋体" w:eastAsia="宋体" w:cs="宋体"/>
          <w:color w:val="auto"/>
          <w:highlight w:val="none"/>
        </w:rPr>
        <w:t>≦</w:t>
      </w:r>
      <w:r>
        <w:rPr>
          <w:rFonts w:hint="eastAsia"/>
          <w:color w:val="auto"/>
          <w:highlight w:val="none"/>
          <w:lang w:val="en-US" w:eastAsia="zh-CN"/>
        </w:rPr>
        <w:t>13万元</w:t>
      </w:r>
      <w:r>
        <w:rPr>
          <w:rFonts w:hint="eastAsia"/>
          <w:color w:val="auto"/>
          <w:highlight w:val="none"/>
        </w:rPr>
        <w:t>；</w:t>
      </w:r>
    </w:p>
    <w:p w14:paraId="7F684F6A">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39471EC7">
      <w:pPr>
        <w:ind w:firstLine="560"/>
        <w:rPr>
          <w:color w:val="auto"/>
          <w:highlight w:val="none"/>
        </w:rPr>
      </w:pPr>
      <w:r>
        <w:rPr>
          <w:rFonts w:hint="eastAsia"/>
          <w:color w:val="auto"/>
          <w:highlight w:val="none"/>
        </w:rPr>
        <w:t>①经济效益指标</w:t>
      </w:r>
    </w:p>
    <w:p w14:paraId="2E39018E">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4C09E11D">
      <w:pPr>
        <w:ind w:firstLine="560"/>
        <w:rPr>
          <w:color w:val="auto"/>
          <w:highlight w:val="none"/>
        </w:rPr>
      </w:pPr>
      <w:r>
        <w:rPr>
          <w:rFonts w:hint="eastAsia"/>
          <w:color w:val="auto"/>
          <w:highlight w:val="none"/>
        </w:rPr>
        <w:t>②社会效益指标</w:t>
      </w:r>
    </w:p>
    <w:p w14:paraId="0D92103A">
      <w:pPr>
        <w:ind w:firstLine="560"/>
        <w:rPr>
          <w:color w:val="auto"/>
          <w:highlight w:val="none"/>
        </w:rPr>
      </w:pPr>
      <w:r>
        <w:rPr>
          <w:rFonts w:hint="eastAsia"/>
          <w:color w:val="auto"/>
          <w:highlight w:val="none"/>
        </w:rPr>
        <w:t>“丰富群众文化知识，培养青少年的爱国主义情操，弘扬中华民族传统文化。”指标，预期指标值为有效提高；</w:t>
      </w:r>
    </w:p>
    <w:p w14:paraId="3F179B0C">
      <w:pPr>
        <w:ind w:firstLine="560"/>
        <w:rPr>
          <w:rFonts w:hint="eastAsia"/>
          <w:color w:val="auto"/>
          <w:highlight w:val="none"/>
        </w:rPr>
      </w:pPr>
      <w:r>
        <w:rPr>
          <w:rFonts w:hint="eastAsia"/>
          <w:color w:val="auto"/>
          <w:highlight w:val="none"/>
        </w:rPr>
        <w:t>③生态效益指标</w:t>
      </w:r>
    </w:p>
    <w:p w14:paraId="38567504">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3B0B25BF">
      <w:pPr>
        <w:ind w:firstLine="560"/>
        <w:rPr>
          <w:color w:val="auto"/>
          <w:highlight w:val="none"/>
        </w:rPr>
      </w:pPr>
      <w:r>
        <w:rPr>
          <w:rFonts w:hint="eastAsia"/>
          <w:color w:val="auto"/>
          <w:highlight w:val="none"/>
        </w:rPr>
        <w:t>④满意度指标</w:t>
      </w:r>
    </w:p>
    <w:p w14:paraId="64115BDC">
      <w:pPr>
        <w:ind w:firstLine="560"/>
        <w:rPr>
          <w:color w:val="auto"/>
          <w:highlight w:val="none"/>
        </w:rPr>
      </w:pPr>
      <w:r>
        <w:rPr>
          <w:rFonts w:hint="eastAsia"/>
          <w:color w:val="auto"/>
          <w:highlight w:val="none"/>
        </w:rPr>
        <w:t>“参观者及工作人员满意度”指标，预期指标值为≥95%；</w:t>
      </w:r>
    </w:p>
    <w:p w14:paraId="5DAC336E">
      <w:pPr>
        <w:pStyle w:val="3"/>
        <w:ind w:firstLine="643"/>
        <w:rPr>
          <w:color w:val="auto"/>
          <w:highlight w:val="none"/>
        </w:rPr>
      </w:pPr>
      <w:r>
        <w:rPr>
          <w:rFonts w:hint="eastAsia"/>
          <w:color w:val="auto"/>
          <w:highlight w:val="none"/>
        </w:rPr>
        <w:t>二、绩效评价工作开展情况</w:t>
      </w:r>
    </w:p>
    <w:p w14:paraId="3EC35399">
      <w:pPr>
        <w:pStyle w:val="4"/>
        <w:ind w:firstLine="643"/>
        <w:rPr>
          <w:color w:val="auto"/>
          <w:highlight w:val="none"/>
        </w:rPr>
      </w:pPr>
      <w:bookmarkStart w:id="0" w:name="_Toc21664"/>
      <w:bookmarkStart w:id="1" w:name="_Toc12868"/>
      <w:bookmarkStart w:id="2" w:name="_Toc26632"/>
      <w:bookmarkStart w:id="3" w:name="_Toc22169_WPSOffice_Level2"/>
      <w:bookmarkStart w:id="4" w:name="_Toc5462343"/>
      <w:bookmarkStart w:id="5" w:name="_Toc480473081"/>
      <w:bookmarkStart w:id="6" w:name="_Toc22922"/>
      <w:bookmarkStart w:id="7" w:name="_Toc525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3FE909F4">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1E8B1A24">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单位针对2023年博物馆纪念馆逐步免费开放专项资金项目开展本次部门项目支出绩效评价工作。通过绩效评价，促进本单位发现问题、总结经验、改进工作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36E9E7FB">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75443FC4">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3D9662D9">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18D851C">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636F699">
      <w:pPr>
        <w:pStyle w:val="2"/>
        <w:ind w:firstLine="562"/>
        <w:rPr>
          <w:color w:val="auto"/>
          <w:highlight w:val="none"/>
        </w:rPr>
      </w:pPr>
      <w:r>
        <w:rPr>
          <w:rFonts w:hint="eastAsia"/>
          <w:color w:val="auto"/>
          <w:highlight w:val="none"/>
        </w:rPr>
        <w:t>2.绩效评价对象</w:t>
      </w:r>
    </w:p>
    <w:p w14:paraId="10332419">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此次我单位根据《财政支出绩效评价管理暂行办法》（财预〔2020〕10号）文件要求实施评价工作，本次评价对象为2023年博物馆纪念馆逐步免费开放专项资金项目，评价核心为项目</w:t>
      </w:r>
      <w:r>
        <w:rPr>
          <w:rFonts w:hint="eastAsia"/>
          <w:color w:val="auto"/>
          <w:highlight w:val="none"/>
          <w:lang w:val="en-US" w:eastAsia="zh-CN"/>
        </w:rPr>
        <w:t>的资金投入、产出及效益</w:t>
      </w:r>
      <w:r>
        <w:rPr>
          <w:rFonts w:hint="eastAsia"/>
          <w:color w:val="auto"/>
          <w:highlight w:val="none"/>
        </w:rPr>
        <w:t>。</w:t>
      </w:r>
    </w:p>
    <w:p w14:paraId="68287339">
      <w:pPr>
        <w:pStyle w:val="2"/>
        <w:ind w:firstLine="562"/>
        <w:rPr>
          <w:color w:val="auto"/>
          <w:highlight w:val="none"/>
        </w:rPr>
      </w:pPr>
      <w:r>
        <w:rPr>
          <w:rFonts w:hint="eastAsia"/>
          <w:color w:val="auto"/>
          <w:highlight w:val="none"/>
        </w:rPr>
        <w:t>3.绩效评价范围</w:t>
      </w:r>
    </w:p>
    <w:p w14:paraId="4CBA3364">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A985F0B">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1E9DBC1D">
      <w:pPr>
        <w:pStyle w:val="2"/>
        <w:ind w:firstLine="562"/>
        <w:rPr>
          <w:color w:val="auto"/>
          <w:highlight w:val="none"/>
        </w:rPr>
      </w:pPr>
      <w:r>
        <w:rPr>
          <w:rFonts w:hint="eastAsia"/>
          <w:color w:val="auto"/>
          <w:highlight w:val="none"/>
        </w:rPr>
        <w:t>1.绩效评价原则</w:t>
      </w:r>
    </w:p>
    <w:p w14:paraId="447B28D4">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6B82959B">
      <w:pPr>
        <w:ind w:firstLine="560"/>
        <w:rPr>
          <w:color w:val="auto"/>
          <w:highlight w:val="none"/>
        </w:rPr>
      </w:pPr>
      <w:bookmarkStart w:id="8" w:name="_Toc428278230"/>
      <w:bookmarkStart w:id="9" w:name="_Toc419984722"/>
      <w:bookmarkStart w:id="10" w:name="_Toc26131"/>
      <w:bookmarkStart w:id="11" w:name="_Toc1913"/>
      <w:r>
        <w:rPr>
          <w:rFonts w:hint="eastAsia"/>
          <w:color w:val="auto"/>
          <w:highlight w:val="none"/>
        </w:rPr>
        <w:t>（1）科学公正。绩效评价应当运用科学合理的方法，按照规范的程序，对项目绩效进行客观、公正的反映。</w:t>
      </w:r>
    </w:p>
    <w:p w14:paraId="07F1A28B">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6B4D6BBF">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1922B021">
      <w:pPr>
        <w:snapToGrid w:val="0"/>
        <w:ind w:firstLine="560"/>
        <w:rPr>
          <w:color w:val="auto"/>
          <w:highlight w:val="none"/>
        </w:rPr>
      </w:pPr>
      <w:r>
        <w:rPr>
          <w:rFonts w:hint="eastAsia"/>
          <w:color w:val="auto"/>
          <w:highlight w:val="none"/>
        </w:rPr>
        <w:t>（4）公开透明。绩效评价结果应依法依规公开，并自觉接受社会监督。</w:t>
      </w:r>
    </w:p>
    <w:p w14:paraId="0C728DB5">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3C5E4FA8">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53B25224">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32FB491B">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7AA41DF0">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43519505">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0F57558E">
      <w:pPr>
        <w:pStyle w:val="2"/>
        <w:ind w:firstLine="562"/>
        <w:rPr>
          <w:color w:val="auto"/>
          <w:highlight w:val="none"/>
        </w:rPr>
      </w:pPr>
      <w:r>
        <w:rPr>
          <w:rFonts w:hint="eastAsia"/>
          <w:color w:val="auto"/>
          <w:highlight w:val="none"/>
        </w:rPr>
        <w:t>3.评价方法</w:t>
      </w:r>
    </w:p>
    <w:p w14:paraId="587DB95D">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5C90872">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17DA93FF">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E3D483D">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2C34C008">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5304C466">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5824DC7C">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12EAFFA0">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0C132895">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2E517538">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113D8813">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90A36B5">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47A813FE">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6D5733F3">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4EAD91E0">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552BCD05">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AAD203A">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0F2F8355">
      <w:pPr>
        <w:pStyle w:val="2"/>
        <w:ind w:firstLine="562"/>
        <w:rPr>
          <w:color w:val="auto"/>
          <w:highlight w:val="none"/>
        </w:rPr>
      </w:pPr>
      <w:r>
        <w:rPr>
          <w:rFonts w:hint="eastAsia"/>
          <w:color w:val="auto"/>
          <w:highlight w:val="none"/>
        </w:rPr>
        <w:t>4.评价标准</w:t>
      </w:r>
    </w:p>
    <w:p w14:paraId="7FBCA6B6">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0C359D2">
      <w:pPr>
        <w:pStyle w:val="4"/>
        <w:ind w:firstLine="643"/>
        <w:rPr>
          <w:color w:val="auto"/>
          <w:highlight w:val="none"/>
        </w:rPr>
      </w:pPr>
      <w:r>
        <w:rPr>
          <w:rFonts w:hint="eastAsia"/>
          <w:color w:val="auto"/>
          <w:highlight w:val="none"/>
        </w:rPr>
        <w:t>（三）绩效评价工作过程</w:t>
      </w:r>
    </w:p>
    <w:p w14:paraId="19125A65">
      <w:pPr>
        <w:pStyle w:val="2"/>
        <w:ind w:firstLine="562"/>
        <w:rPr>
          <w:color w:val="auto"/>
          <w:highlight w:val="none"/>
        </w:rPr>
      </w:pPr>
      <w:r>
        <w:rPr>
          <w:rFonts w:hint="eastAsia"/>
          <w:color w:val="auto"/>
          <w:highlight w:val="none"/>
        </w:rPr>
        <w:t>1.前期准备</w:t>
      </w:r>
    </w:p>
    <w:p w14:paraId="47FF0B0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1D23A70">
      <w:pPr>
        <w:ind w:firstLine="560"/>
        <w:rPr>
          <w:color w:val="auto"/>
          <w:highlight w:val="none"/>
        </w:rPr>
      </w:pPr>
      <w:r>
        <w:rPr>
          <w:rFonts w:hint="eastAsia"/>
          <w:color w:val="auto"/>
          <w:highlight w:val="none"/>
          <w:lang w:eastAsia="zh-CN"/>
        </w:rPr>
        <w:t>李鹏</w:t>
      </w:r>
      <w:r>
        <w:rPr>
          <w:rFonts w:hint="eastAsia"/>
          <w:color w:val="auto"/>
          <w:highlight w:val="none"/>
        </w:rPr>
        <w:t>（评价小组组长）：主要负责项目绩效评价工作</w:t>
      </w:r>
      <w:r>
        <w:rPr>
          <w:rFonts w:hint="eastAsia"/>
          <w:color w:val="auto"/>
          <w:highlight w:val="none"/>
          <w:lang w:eastAsia="zh-CN"/>
        </w:rPr>
        <w:t>部署审核；</w:t>
      </w:r>
    </w:p>
    <w:p w14:paraId="1A792272">
      <w:pPr>
        <w:ind w:firstLine="560"/>
        <w:rPr>
          <w:color w:val="auto"/>
          <w:highlight w:val="none"/>
        </w:rPr>
      </w:pPr>
      <w:r>
        <w:rPr>
          <w:rFonts w:hint="eastAsia"/>
          <w:color w:val="auto"/>
          <w:highlight w:val="none"/>
          <w:lang w:eastAsia="zh-CN"/>
        </w:rPr>
        <w:t>才仁加甫</w:t>
      </w:r>
      <w:r>
        <w:rPr>
          <w:rFonts w:hint="eastAsia"/>
          <w:color w:val="auto"/>
          <w:highlight w:val="none"/>
        </w:rPr>
        <w:t>（评价小组组员）：主要负责项目绩效评价的</w:t>
      </w:r>
      <w:r>
        <w:rPr>
          <w:rFonts w:hint="eastAsia"/>
          <w:color w:val="auto"/>
          <w:highlight w:val="none"/>
          <w:lang w:eastAsia="zh-CN"/>
        </w:rPr>
        <w:t>分析</w:t>
      </w:r>
      <w:r>
        <w:rPr>
          <w:rFonts w:hint="eastAsia"/>
          <w:color w:val="auto"/>
          <w:highlight w:val="none"/>
        </w:rPr>
        <w:t>实施</w:t>
      </w:r>
      <w:r>
        <w:rPr>
          <w:rFonts w:hint="eastAsia"/>
          <w:color w:val="auto"/>
          <w:highlight w:val="none"/>
          <w:lang w:eastAsia="zh-CN"/>
        </w:rPr>
        <w:t>；</w:t>
      </w:r>
    </w:p>
    <w:p w14:paraId="005E4CF5">
      <w:pPr>
        <w:ind w:firstLine="560"/>
        <w:rPr>
          <w:color w:val="auto"/>
          <w:highlight w:val="none"/>
        </w:rPr>
      </w:pPr>
      <w:r>
        <w:rPr>
          <w:rFonts w:hint="eastAsia"/>
          <w:color w:val="auto"/>
          <w:highlight w:val="none"/>
          <w:lang w:eastAsia="zh-CN"/>
        </w:rPr>
        <w:t>巴叶</w:t>
      </w:r>
      <w:r>
        <w:rPr>
          <w:rFonts w:hint="eastAsia"/>
          <w:color w:val="auto"/>
          <w:highlight w:val="none"/>
        </w:rPr>
        <w:t>（评价小组组员）：主要负责项目绩效评价</w:t>
      </w:r>
      <w:r>
        <w:rPr>
          <w:rFonts w:hint="eastAsia"/>
          <w:color w:val="auto"/>
          <w:highlight w:val="none"/>
          <w:lang w:eastAsia="zh-CN"/>
        </w:rPr>
        <w:t>编报</w:t>
      </w:r>
      <w:r>
        <w:rPr>
          <w:rFonts w:hint="eastAsia"/>
          <w:color w:val="auto"/>
          <w:highlight w:val="none"/>
        </w:rPr>
        <w:t>工作。</w:t>
      </w:r>
    </w:p>
    <w:p w14:paraId="35664E90">
      <w:pPr>
        <w:pStyle w:val="2"/>
        <w:ind w:firstLine="562"/>
        <w:rPr>
          <w:color w:val="auto"/>
          <w:highlight w:val="none"/>
        </w:rPr>
      </w:pPr>
      <w:r>
        <w:rPr>
          <w:rFonts w:hint="eastAsia"/>
          <w:color w:val="auto"/>
          <w:highlight w:val="none"/>
        </w:rPr>
        <w:t>2.组织实施</w:t>
      </w:r>
    </w:p>
    <w:p w14:paraId="250935A6">
      <w:pPr>
        <w:ind w:firstLine="560"/>
        <w:rPr>
          <w:color w:val="auto"/>
          <w:highlight w:val="none"/>
        </w:rPr>
      </w:pPr>
      <w:r>
        <w:rPr>
          <w:rFonts w:hint="eastAsia"/>
          <w:color w:val="auto"/>
          <w:highlight w:val="none"/>
          <w:lang w:eastAsia="zh-CN"/>
        </w:rPr>
        <w:t>2023年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9085494">
      <w:pPr>
        <w:pStyle w:val="2"/>
        <w:ind w:firstLine="562"/>
        <w:rPr>
          <w:color w:val="auto"/>
          <w:highlight w:val="none"/>
        </w:rPr>
      </w:pPr>
      <w:r>
        <w:rPr>
          <w:rFonts w:hint="eastAsia"/>
          <w:color w:val="auto"/>
          <w:highlight w:val="none"/>
        </w:rPr>
        <w:t>3.分析评价</w:t>
      </w:r>
    </w:p>
    <w:p w14:paraId="15BA7C82">
      <w:pPr>
        <w:ind w:firstLine="560"/>
        <w:rPr>
          <w:color w:val="auto"/>
          <w:highlight w:val="none"/>
        </w:rPr>
      </w:pPr>
      <w:r>
        <w:rPr>
          <w:rFonts w:hint="eastAsia"/>
          <w:color w:val="auto"/>
          <w:highlight w:val="none"/>
          <w:lang w:eastAsia="zh-CN"/>
        </w:rPr>
        <w:t>2023年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487F63EC">
      <w:pPr>
        <w:pStyle w:val="2"/>
        <w:ind w:firstLine="562"/>
        <w:rPr>
          <w:rFonts w:hint="eastAsia"/>
          <w:color w:val="auto"/>
          <w:highlight w:val="none"/>
        </w:rPr>
      </w:pPr>
      <w:r>
        <w:rPr>
          <w:rFonts w:hint="eastAsia"/>
          <w:color w:val="auto"/>
          <w:highlight w:val="none"/>
        </w:rPr>
        <w:t>4.撰写与提交评价报告</w:t>
      </w:r>
    </w:p>
    <w:p w14:paraId="770F5FA1">
      <w:pPr>
        <w:ind w:firstLine="560"/>
        <w:rPr>
          <w:color w:val="auto"/>
          <w:highlight w:val="none"/>
        </w:rPr>
      </w:pPr>
      <w:r>
        <w:rPr>
          <w:rFonts w:hint="eastAsia"/>
          <w:color w:val="auto"/>
          <w:highlight w:val="none"/>
          <w:lang w:eastAsia="zh-CN"/>
        </w:rPr>
        <w:t>2023年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24DAE931">
      <w:pPr>
        <w:pStyle w:val="2"/>
        <w:ind w:firstLine="562"/>
        <w:rPr>
          <w:rFonts w:hint="eastAsia"/>
          <w:color w:val="auto"/>
          <w:highlight w:val="none"/>
        </w:rPr>
      </w:pPr>
      <w:r>
        <w:rPr>
          <w:rFonts w:hint="eastAsia"/>
          <w:color w:val="auto"/>
          <w:highlight w:val="none"/>
        </w:rPr>
        <w:t>5.问题整改</w:t>
      </w:r>
    </w:p>
    <w:p w14:paraId="1F8B6873">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7F7183E2">
      <w:pPr>
        <w:pStyle w:val="2"/>
        <w:ind w:firstLine="562"/>
        <w:rPr>
          <w:rFonts w:hint="eastAsia"/>
          <w:color w:val="auto"/>
          <w:highlight w:val="none"/>
        </w:rPr>
      </w:pPr>
      <w:r>
        <w:rPr>
          <w:rFonts w:hint="eastAsia"/>
          <w:color w:val="auto"/>
          <w:highlight w:val="none"/>
        </w:rPr>
        <w:t>6.档案整理</w:t>
      </w:r>
    </w:p>
    <w:p w14:paraId="37869E39">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29D66101">
      <w:pPr>
        <w:pStyle w:val="3"/>
        <w:numPr>
          <w:ilvl w:val="0"/>
          <w:numId w:val="3"/>
        </w:numPr>
        <w:ind w:firstLine="643"/>
        <w:rPr>
          <w:color w:val="auto"/>
          <w:highlight w:val="none"/>
        </w:rPr>
      </w:pPr>
      <w:r>
        <w:rPr>
          <w:rFonts w:hint="eastAsia"/>
          <w:color w:val="auto"/>
          <w:highlight w:val="none"/>
        </w:rPr>
        <w:t>综合评价情况及评价结论</w:t>
      </w:r>
    </w:p>
    <w:p w14:paraId="5A610C0D">
      <w:pPr>
        <w:pStyle w:val="4"/>
        <w:ind w:firstLine="643"/>
        <w:rPr>
          <w:rFonts w:hint="eastAsia"/>
          <w:b w:val="0"/>
          <w:color w:val="auto"/>
          <w:highlight w:val="none"/>
        </w:rPr>
      </w:pPr>
      <w:r>
        <w:rPr>
          <w:rFonts w:hint="eastAsia"/>
          <w:color w:val="auto"/>
          <w:highlight w:val="none"/>
        </w:rPr>
        <w:t>（一）综合评价情况</w:t>
      </w:r>
    </w:p>
    <w:p w14:paraId="1F963649">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一家场馆运行免费开放356天，开展纪念日及教育活动65场开展活动及时率达95%经费4.9万元，发放聘用人员工资及社保14.89万元。培养青少年的爱国主义情操，不断弘扬传承优秀传统文化，大力培育社会主义核心价值观，有效保障各族群众精神文化需求，促进社会和谐稳定的成效。免费开放工作按计划完成，参观者及工作人员满意度达95%。</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eastAsia="zh-CN"/>
        </w:rPr>
        <w:t>三个</w:t>
      </w:r>
      <w:r>
        <w:rPr>
          <w:rFonts w:hint="eastAsia"/>
          <w:color w:val="auto"/>
          <w:highlight w:val="none"/>
        </w:rPr>
        <w:t>方面</w:t>
      </w:r>
      <w:r>
        <w:rPr>
          <w:rFonts w:hint="eastAsia"/>
          <w:color w:val="auto"/>
          <w:highlight w:val="none"/>
          <w:lang w:val="zh-TW" w:eastAsia="zh-TW"/>
        </w:rPr>
        <w:t>：</w:t>
      </w:r>
    </w:p>
    <w:p w14:paraId="2ABE5B40">
      <w:pPr>
        <w:ind w:firstLine="560"/>
        <w:rPr>
          <w:color w:val="auto"/>
          <w:highlight w:val="none"/>
        </w:rPr>
      </w:pPr>
      <w:r>
        <w:rPr>
          <w:rFonts w:hint="eastAsia"/>
          <w:color w:val="auto"/>
          <w:highlight w:val="none"/>
        </w:rPr>
        <w:t>一是：完成一家场馆运行免费开放356天，开展纪念日及教育活动65场开展活动及时率达95%经费4.9万元，发放聘用人员工资及社保14.89万元</w:t>
      </w:r>
      <w:r>
        <w:rPr>
          <w:rFonts w:hint="eastAsia"/>
          <w:color w:val="auto"/>
          <w:highlight w:val="none"/>
          <w:lang w:eastAsia="zh-CN"/>
        </w:rPr>
        <w:t>，参观者和工作人员满意度达到</w:t>
      </w:r>
      <w:r>
        <w:rPr>
          <w:rFonts w:hint="eastAsia"/>
          <w:color w:val="auto"/>
          <w:highlight w:val="none"/>
          <w:lang w:val="en-US" w:eastAsia="zh-CN"/>
        </w:rPr>
        <w:t>95%</w:t>
      </w:r>
      <w:r>
        <w:rPr>
          <w:rFonts w:hint="eastAsia"/>
          <w:color w:val="auto"/>
          <w:highlight w:val="none"/>
        </w:rPr>
        <w:t>。</w:t>
      </w:r>
    </w:p>
    <w:p w14:paraId="59659FCE">
      <w:pPr>
        <w:ind w:firstLine="560"/>
        <w:rPr>
          <w:rFonts w:hint="eastAsia"/>
          <w:color w:val="auto"/>
          <w:highlight w:val="none"/>
          <w:lang w:eastAsia="zh-CN"/>
        </w:rPr>
      </w:pPr>
      <w:r>
        <w:rPr>
          <w:rFonts w:hint="eastAsia"/>
          <w:color w:val="auto"/>
          <w:highlight w:val="none"/>
        </w:rPr>
        <w:t>二是：</w:t>
      </w:r>
      <w:r>
        <w:rPr>
          <w:rFonts w:hint="eastAsia"/>
          <w:color w:val="auto"/>
          <w:highlight w:val="none"/>
          <w:lang w:eastAsia="zh-CN"/>
        </w:rPr>
        <w:t>达到</w:t>
      </w:r>
      <w:r>
        <w:rPr>
          <w:rFonts w:hint="eastAsia"/>
          <w:color w:val="auto"/>
          <w:highlight w:val="none"/>
        </w:rPr>
        <w:t>培养青少年的爱国主义情操，不断弘扬传承优秀传统文化，大力培育社会主义核心价值观，有效保障各族群众精神文化需求，促进社会和谐稳定的成效</w:t>
      </w:r>
      <w:r>
        <w:rPr>
          <w:rFonts w:hint="eastAsia"/>
          <w:color w:val="auto"/>
          <w:highlight w:val="none"/>
          <w:lang w:eastAsia="zh-CN"/>
        </w:rPr>
        <w:t>，</w:t>
      </w:r>
      <w:r>
        <w:rPr>
          <w:rFonts w:hint="eastAsia"/>
          <w:color w:val="auto"/>
          <w:highlight w:val="none"/>
        </w:rPr>
        <w:t>免费开放工作按计划完成</w:t>
      </w:r>
      <w:r>
        <w:rPr>
          <w:rFonts w:hint="eastAsia"/>
          <w:color w:val="auto"/>
          <w:highlight w:val="none"/>
          <w:lang w:eastAsia="zh-CN"/>
        </w:rPr>
        <w:t>。</w:t>
      </w:r>
    </w:p>
    <w:p w14:paraId="0A119D13">
      <w:pPr>
        <w:ind w:firstLine="560"/>
        <w:rPr>
          <w:rFonts w:hint="eastAsia" w:eastAsia="仿宋_GB2312"/>
          <w:color w:val="auto"/>
          <w:highlight w:val="none"/>
          <w:lang w:eastAsia="zh-CN"/>
        </w:rPr>
      </w:pPr>
      <w:r>
        <w:rPr>
          <w:rFonts w:hint="eastAsia"/>
          <w:color w:val="auto"/>
          <w:highlight w:val="none"/>
        </w:rPr>
        <w:t>三是：认真审核，确保资金及时足额发放。发放聘用人员工资及社保14.89万元</w:t>
      </w:r>
      <w:r>
        <w:rPr>
          <w:rFonts w:hint="eastAsia"/>
          <w:color w:val="auto"/>
          <w:highlight w:val="none"/>
          <w:lang w:eastAsia="zh-CN"/>
        </w:rPr>
        <w:t>，保障了博物馆</w:t>
      </w:r>
      <w:r>
        <w:rPr>
          <w:rFonts w:hint="eastAsia"/>
          <w:color w:val="auto"/>
          <w:highlight w:val="none"/>
        </w:rPr>
        <w:t>免费开放工作</w:t>
      </w:r>
      <w:r>
        <w:rPr>
          <w:rFonts w:hint="eastAsia"/>
          <w:color w:val="auto"/>
          <w:highlight w:val="none"/>
          <w:lang w:eastAsia="zh-CN"/>
        </w:rPr>
        <w:t>后勤保障。</w:t>
      </w:r>
    </w:p>
    <w:p w14:paraId="6C869E7F">
      <w:pPr>
        <w:pStyle w:val="4"/>
        <w:ind w:left="560" w:leftChars="200" w:firstLine="0" w:firstLineChars="0"/>
        <w:rPr>
          <w:color w:val="auto"/>
          <w:highlight w:val="none"/>
        </w:rPr>
      </w:pPr>
      <w:r>
        <w:rPr>
          <w:rFonts w:hint="eastAsia"/>
          <w:color w:val="auto"/>
          <w:highlight w:val="none"/>
        </w:rPr>
        <w:t>（二）评价结论</w:t>
      </w:r>
    </w:p>
    <w:p w14:paraId="102449C8">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90.36</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w:t>
      </w:r>
      <w:r>
        <w:rPr>
          <w:rFonts w:hint="eastAsia"/>
          <w:color w:val="auto"/>
          <w:highlight w:val="none"/>
          <w:lang w:val="en-US" w:eastAsia="zh-CN"/>
        </w:rPr>
        <w:t>90.48%</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0</w:t>
      </w:r>
      <w:r>
        <w:rPr>
          <w:rFonts w:hint="eastAsia"/>
          <w:color w:val="auto"/>
          <w:highlight w:val="none"/>
          <w:lang w:val="zh-TW" w:eastAsia="zh-TW"/>
        </w:rPr>
        <w:t>个，得分率</w:t>
      </w:r>
      <w:r>
        <w:rPr>
          <w:rFonts w:hint="eastAsia"/>
          <w:color w:val="auto"/>
          <w:highlight w:val="none"/>
          <w:lang w:val="en-US" w:eastAsia="zh-CN"/>
        </w:rPr>
        <w:t>54.63</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012B1480">
      <w:pPr>
        <w:pStyle w:val="3"/>
        <w:numPr>
          <w:ilvl w:val="0"/>
          <w:numId w:val="3"/>
        </w:numPr>
        <w:ind w:firstLine="643"/>
        <w:rPr>
          <w:color w:val="auto"/>
          <w:highlight w:val="none"/>
        </w:rPr>
      </w:pPr>
      <w:r>
        <w:rPr>
          <w:rFonts w:hint="eastAsia"/>
          <w:color w:val="auto"/>
          <w:highlight w:val="none"/>
        </w:rPr>
        <w:t>绩效评价指标分析</w:t>
      </w:r>
    </w:p>
    <w:p w14:paraId="3AC947DD">
      <w:pPr>
        <w:pStyle w:val="4"/>
        <w:ind w:firstLine="643"/>
        <w:rPr>
          <w:color w:val="auto"/>
          <w:highlight w:val="none"/>
        </w:rPr>
      </w:pPr>
      <w:r>
        <w:rPr>
          <w:rFonts w:hint="eastAsia"/>
          <w:color w:val="auto"/>
          <w:highlight w:val="none"/>
        </w:rPr>
        <w:t>（一）项目决策情况</w:t>
      </w:r>
    </w:p>
    <w:p w14:paraId="0BCBE944">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2F435A12">
      <w:pPr>
        <w:pStyle w:val="2"/>
        <w:ind w:firstLine="562"/>
        <w:rPr>
          <w:color w:val="auto"/>
          <w:highlight w:val="none"/>
        </w:rPr>
      </w:pPr>
      <w:r>
        <w:rPr>
          <w:rFonts w:hint="eastAsia"/>
          <w:color w:val="auto"/>
          <w:highlight w:val="none"/>
        </w:rPr>
        <w:t>1.项目立项情况分析</w:t>
      </w:r>
    </w:p>
    <w:p w14:paraId="65D1CEA9">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52ADCA1C">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新财教〔2022〕143号巴财教〔2022〕60号关于提前下达2023年中央补助地方博物馆纪念馆免费开放补助资金的通知</w:t>
      </w:r>
      <w:r>
        <w:rPr>
          <w:rFonts w:hint="eastAsia"/>
          <w:color w:val="auto"/>
          <w:highlight w:val="none"/>
          <w:lang w:eastAsia="zh-CN"/>
        </w:rPr>
        <w:t>文件要求</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eastAsia="zh-CN"/>
        </w:rPr>
        <w:t>新疆维吾尔自治区博物馆纪念馆免费开放专项资金使用办法</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lang w:eastAsia="zh-CN"/>
        </w:rPr>
        <w:t>的</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博物馆</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博物馆纪念馆管理规定内容</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w:t>
      </w:r>
      <w:r>
        <w:rPr>
          <w:rFonts w:hint="eastAsia"/>
          <w:color w:val="auto"/>
          <w:highlight w:val="none"/>
          <w:lang w:eastAsia="zh-CN"/>
        </w:rPr>
        <w:t>上级专项</w:t>
      </w:r>
      <w:r>
        <w:rPr>
          <w:rFonts w:hint="eastAsia"/>
          <w:color w:val="auto"/>
          <w:highlight w:val="none"/>
          <w:lang w:eastAsia="zh-Hans"/>
        </w:rPr>
        <w:t>”功能分类为“</w:t>
      </w:r>
      <w:r>
        <w:rPr>
          <w:rFonts w:hint="eastAsia"/>
          <w:color w:val="auto"/>
          <w:highlight w:val="none"/>
          <w:lang w:val="en-US" w:eastAsia="zh-CN"/>
        </w:rPr>
        <w:t>2070205</w:t>
      </w:r>
      <w:r>
        <w:rPr>
          <w:rFonts w:hint="eastAsia"/>
          <w:color w:val="auto"/>
          <w:highlight w:val="none"/>
          <w:lang w:eastAsia="zh-Hans"/>
        </w:rPr>
        <w:t>”经济分类为“</w:t>
      </w:r>
      <w:r>
        <w:rPr>
          <w:rFonts w:hint="eastAsia"/>
          <w:color w:val="auto"/>
          <w:highlight w:val="none"/>
          <w:lang w:val="en-US" w:eastAsia="zh-CN"/>
        </w:rPr>
        <w:t>50901,30305</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3F52C352">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9E0A42B">
      <w:pPr>
        <w:ind w:firstLine="562"/>
        <w:rPr>
          <w:b/>
          <w:bCs/>
          <w:color w:val="auto"/>
          <w:highlight w:val="none"/>
        </w:rPr>
      </w:pPr>
      <w:r>
        <w:rPr>
          <w:rFonts w:hint="eastAsia"/>
          <w:b/>
          <w:bCs/>
          <w:color w:val="auto"/>
          <w:highlight w:val="none"/>
        </w:rPr>
        <w:t>（2）立项程序规范性</w:t>
      </w:r>
    </w:p>
    <w:p w14:paraId="46D75D7F">
      <w:pPr>
        <w:ind w:firstLine="560"/>
        <w:rPr>
          <w:color w:val="auto"/>
          <w:highlight w:val="none"/>
        </w:rPr>
      </w:pPr>
      <w:r>
        <w:rPr>
          <w:rFonts w:hint="eastAsia"/>
          <w:color w:val="auto"/>
          <w:highlight w:val="none"/>
        </w:rPr>
        <w:t>本项目为了2023年为6个展厅及满汗王府旧址陈列展厅日常维护，按时</w:t>
      </w:r>
      <w:r>
        <w:rPr>
          <w:rFonts w:hint="eastAsia"/>
          <w:color w:val="auto"/>
          <w:highlight w:val="none"/>
          <w:lang w:eastAsia="zh-CN"/>
        </w:rPr>
        <w:t>发放</w:t>
      </w:r>
      <w:r>
        <w:rPr>
          <w:rFonts w:hint="eastAsia"/>
          <w:color w:val="auto"/>
          <w:highlight w:val="none"/>
        </w:rPr>
        <w:t>4个聘用人员工资及社保，保障免费开放人力保障，及时开展5.18流动博物馆活动，实现全年365天免费开放达到丰富群众文化知识，培养青少年的爱国主义情操，不断弘扬传承优秀传统文化，大力培育社会主义核心价值观，有效保障各族群众精神文化需求，促进社会和谐稳定的成效，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特定类</w:t>
      </w:r>
      <w:r>
        <w:rPr>
          <w:rFonts w:hint="eastAsia"/>
          <w:color w:val="auto"/>
          <w:highlight w:val="none"/>
          <w:lang w:eastAsia="zh-Hans"/>
        </w:rPr>
        <w:t>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30</w:t>
      </w:r>
      <w:r>
        <w:rPr>
          <w:rFonts w:hint="eastAsia"/>
          <w:color w:val="auto"/>
          <w:highlight w:val="none"/>
          <w:lang w:eastAsia="zh-Hans"/>
        </w:rPr>
        <w:t>万元，不涉及</w:t>
      </w:r>
      <w:r>
        <w:rPr>
          <w:rFonts w:hint="eastAsia"/>
          <w:color w:val="auto"/>
          <w:highlight w:val="none"/>
        </w:rPr>
        <w:t>事前绩效评估和风险评估。</w:t>
      </w:r>
      <w:bookmarkStart w:id="14" w:name="_GoBack"/>
      <w:bookmarkEnd w:id="14"/>
    </w:p>
    <w:p w14:paraId="4CCDB6F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0BEB5B2">
      <w:pPr>
        <w:pStyle w:val="2"/>
        <w:ind w:firstLine="562"/>
        <w:rPr>
          <w:color w:val="auto"/>
          <w:highlight w:val="none"/>
        </w:rPr>
      </w:pPr>
      <w:r>
        <w:rPr>
          <w:rFonts w:hint="eastAsia"/>
          <w:color w:val="auto"/>
          <w:highlight w:val="none"/>
        </w:rPr>
        <w:t>2.绩效目标情况分析</w:t>
      </w:r>
    </w:p>
    <w:p w14:paraId="51F5944D">
      <w:pPr>
        <w:ind w:firstLine="562"/>
        <w:rPr>
          <w:b/>
          <w:bCs/>
          <w:color w:val="auto"/>
          <w:highlight w:val="none"/>
        </w:rPr>
      </w:pPr>
      <w:r>
        <w:rPr>
          <w:rFonts w:hint="eastAsia"/>
          <w:b/>
          <w:bCs/>
          <w:color w:val="auto"/>
          <w:highlight w:val="none"/>
        </w:rPr>
        <w:t>（1）绩效目标合理性</w:t>
      </w:r>
    </w:p>
    <w:p w14:paraId="2185CFB5">
      <w:pPr>
        <w:ind w:firstLine="560"/>
        <w:rPr>
          <w:color w:val="auto"/>
          <w:highlight w:val="none"/>
          <w:lang w:eastAsia="zh-Hans"/>
        </w:rPr>
      </w:pPr>
      <w:r>
        <w:rPr>
          <w:rFonts w:hint="eastAsia"/>
          <w:color w:val="auto"/>
          <w:highlight w:val="none"/>
        </w:rPr>
        <w:t>本项目已设置年度绩效目标，具体内容为“2023年免费开放专项资金用于6个展厅及满汗王府旧址陈列展厅日常维护，发放4个聘用人员工资及社保，开展5.18流动博物馆活动，实现全年365天免费开放达到丰富群众文化知识，培养青少年的爱国主义情操，不断弘扬传承优秀传统文化，大力培育社会主义核心价值观，有效保障各族群众精神文化需求，促进社会和谐稳定的成效。”；本项目实际工作为：1</w:t>
      </w:r>
      <w:r>
        <w:rPr>
          <w:rFonts w:hint="eastAsia"/>
          <w:color w:val="auto"/>
          <w:highlight w:val="none"/>
          <w:lang w:val="en-US" w:eastAsia="zh-CN"/>
        </w:rPr>
        <w:t>.截止</w:t>
      </w:r>
      <w:r>
        <w:rPr>
          <w:rFonts w:hint="eastAsia"/>
          <w:color w:val="auto"/>
          <w:highlight w:val="none"/>
        </w:rPr>
        <w:t>2023年12月，经费已完成一家场馆运行免费开放356天，开展纪念日及教育活动65场开展活动及时率达95%经费4.9万元，发放聘用人员工资及社保14.89万元。2</w:t>
      </w:r>
      <w:r>
        <w:rPr>
          <w:rFonts w:hint="eastAsia"/>
          <w:color w:val="auto"/>
          <w:highlight w:val="none"/>
          <w:lang w:val="en-US" w:eastAsia="zh-CN"/>
        </w:rPr>
        <w:t>.</w:t>
      </w:r>
      <w:r>
        <w:rPr>
          <w:rFonts w:hint="eastAsia"/>
          <w:color w:val="auto"/>
          <w:highlight w:val="none"/>
        </w:rPr>
        <w:t>培养青少年的爱国主义情操，不断弘扬传承优秀传统文化，大力培育社会主义核心价值观，有效保障各族群众精神文化需求，促进社会和谐稳定的成效。免费开放工作按计划完成，参观者及工作人员满意度达95%</w:t>
      </w:r>
      <w:r>
        <w:rPr>
          <w:rFonts w:hint="eastAsia"/>
          <w:color w:val="auto"/>
          <w:highlight w:val="none"/>
          <w:lang w:eastAsia="zh-CN"/>
        </w:rPr>
        <w:t>。</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rPr>
        <w:t>各族群众精神文化需求，促进社会和谐稳定的成效</w:t>
      </w:r>
      <w:r>
        <w:rPr>
          <w:rFonts w:hint="eastAsia"/>
          <w:color w:val="auto"/>
          <w:highlight w:val="none"/>
          <w:lang w:eastAsia="zh-Hans"/>
        </w:rPr>
        <w:t>，</w:t>
      </w:r>
      <w:r>
        <w:rPr>
          <w:rFonts w:hint="eastAsia"/>
          <w:color w:val="auto"/>
          <w:highlight w:val="none"/>
          <w:lang w:eastAsia="zh-CN"/>
        </w:rPr>
        <w:t>按时完成</w:t>
      </w:r>
      <w:r>
        <w:rPr>
          <w:rFonts w:hint="eastAsia"/>
          <w:color w:val="auto"/>
          <w:highlight w:val="none"/>
          <w:lang w:eastAsia="zh-Hans"/>
        </w:rPr>
        <w:t>年度绩效目标，预期产出效益和效果符合正常的业绩水平。</w:t>
      </w:r>
    </w:p>
    <w:p w14:paraId="1071BC7F">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31000F9C">
      <w:pPr>
        <w:ind w:firstLine="562"/>
        <w:rPr>
          <w:b/>
          <w:bCs/>
          <w:color w:val="auto"/>
          <w:highlight w:val="none"/>
        </w:rPr>
      </w:pPr>
      <w:r>
        <w:rPr>
          <w:rFonts w:hint="eastAsia"/>
          <w:b/>
          <w:bCs/>
          <w:color w:val="auto"/>
          <w:highlight w:val="none"/>
        </w:rPr>
        <w:t>（2）绩效指标明确性</w:t>
      </w:r>
    </w:p>
    <w:p w14:paraId="240E7817">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10</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90</w:t>
      </w:r>
      <w:r>
        <w:rPr>
          <w:rFonts w:hint="eastAsia"/>
          <w:color w:val="auto"/>
          <w:highlight w:val="none"/>
          <w:lang w:eastAsia="zh-Hans"/>
        </w:rPr>
        <w:t>%，量化率达70%以上</w:t>
      </w:r>
      <w:r>
        <w:rPr>
          <w:rFonts w:hint="eastAsia"/>
          <w:color w:val="auto"/>
          <w:highlight w:val="none"/>
        </w:rPr>
        <w:t>。</w:t>
      </w:r>
    </w:p>
    <w:p w14:paraId="56890C1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1E377783">
      <w:pPr>
        <w:pStyle w:val="2"/>
        <w:ind w:firstLine="562"/>
        <w:rPr>
          <w:color w:val="auto"/>
          <w:highlight w:val="none"/>
        </w:rPr>
      </w:pPr>
      <w:r>
        <w:rPr>
          <w:rFonts w:hint="eastAsia"/>
          <w:color w:val="auto"/>
          <w:highlight w:val="none"/>
        </w:rPr>
        <w:t>3.资金投入情况分析</w:t>
      </w:r>
    </w:p>
    <w:p w14:paraId="6F36D583">
      <w:pPr>
        <w:ind w:firstLine="562"/>
        <w:rPr>
          <w:b/>
          <w:bCs/>
          <w:color w:val="auto"/>
          <w:highlight w:val="none"/>
          <w:lang w:eastAsia="zh-Hans" w:bidi="ar"/>
        </w:rPr>
      </w:pPr>
      <w:r>
        <w:rPr>
          <w:rFonts w:hint="eastAsia"/>
          <w:b/>
          <w:bCs/>
          <w:color w:val="auto"/>
          <w:highlight w:val="none"/>
          <w:lang w:eastAsia="zh-Hans" w:bidi="ar"/>
        </w:rPr>
        <w:t>（1）预算编制科学性</w:t>
      </w:r>
    </w:p>
    <w:p w14:paraId="7B78F276">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预算编制通过市场调查询价</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3FA32554">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2023年免费开放专项资金用于6个展厅及满汗王府旧址陈列展厅日常维护，发放4个聘用人员工资及社保，开展5.18流动博物馆活动，实现全年365天免费开放达到丰富群众文化知识，培养青少年的爱国主义情操，不断弘扬传承优秀传统文化，大力培育社会主义核心价值观，有效保障各族群众精神文化需求，促进社会和谐稳定的成效</w:t>
      </w:r>
      <w:r>
        <w:rPr>
          <w:rFonts w:hint="eastAsia"/>
          <w:color w:val="auto"/>
          <w:highlight w:val="none"/>
          <w:lang w:eastAsia="zh-CN" w:bidi="ar"/>
        </w:rPr>
        <w:t>。</w:t>
      </w:r>
      <w:r>
        <w:rPr>
          <w:rFonts w:hint="eastAsia"/>
          <w:color w:val="auto"/>
          <w:highlight w:val="none"/>
          <w:lang w:eastAsia="zh-Hans" w:bidi="ar"/>
        </w:rPr>
        <w:t>项目实际内容为</w:t>
      </w:r>
      <w:r>
        <w:rPr>
          <w:rFonts w:hint="eastAsia"/>
          <w:color w:val="auto"/>
          <w:highlight w:val="none"/>
          <w:lang w:bidi="ar"/>
        </w:rPr>
        <w:t>2023年免费开放专项资金已完成一家场馆运行免费开放356天，开展纪念日及教育活动65场开展活动及时率达95%经费4.9万元，发放聘用人员工资及社保14.89万元。培养青少年的爱国主义情操，不断弘扬传承优秀传统文化，大力培育社会主义核心价值观，有效保障各族群众精神文化需求，促进社会和谐稳定的成效。免费开放工作按计划完成，参观者及工作人员满意度达95%。</w:t>
      </w:r>
      <w:r>
        <w:rPr>
          <w:rFonts w:hint="eastAsia"/>
          <w:color w:val="auto"/>
          <w:highlight w:val="none"/>
          <w:lang w:eastAsia="zh-Hans" w:bidi="ar"/>
        </w:rPr>
        <w:t>预算申请与《关于</w:t>
      </w:r>
      <w:r>
        <w:rPr>
          <w:rFonts w:hint="eastAsia"/>
          <w:color w:val="auto"/>
          <w:highlight w:val="none"/>
          <w:lang w:bidi="ar"/>
        </w:rPr>
        <w:t>申请2023年博物馆纪念馆逐步免费开放专项资金项目资金项目实施方案</w:t>
      </w:r>
      <w:r>
        <w:rPr>
          <w:rFonts w:hint="eastAsia"/>
          <w:color w:val="auto"/>
          <w:highlight w:val="none"/>
          <w:lang w:eastAsia="zh-Hans" w:bidi="ar"/>
        </w:rPr>
        <w:t>》中涉及的项目内容匹配</w:t>
      </w:r>
      <w:r>
        <w:rPr>
          <w:rFonts w:hint="eastAsia"/>
          <w:color w:val="auto"/>
          <w:highlight w:val="none"/>
          <w:lang w:bidi="ar"/>
        </w:rPr>
        <w:t>；</w:t>
      </w:r>
    </w:p>
    <w:p w14:paraId="7B5D857A">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30</w:t>
      </w:r>
      <w:r>
        <w:rPr>
          <w:rFonts w:hint="eastAsia"/>
          <w:color w:val="auto"/>
          <w:highlight w:val="none"/>
        </w:rPr>
        <w:t>万元，我单位在预算申请中严格按照单位标准和数量进行核算，其中：单位标准为</w:t>
      </w:r>
      <w:r>
        <w:rPr>
          <w:rFonts w:hint="eastAsia"/>
          <w:color w:val="auto"/>
          <w:highlight w:val="none"/>
          <w:lang w:val="en-US" w:eastAsia="zh-CN"/>
        </w:rPr>
        <w:t>30</w:t>
      </w:r>
      <w:r>
        <w:rPr>
          <w:rFonts w:hint="eastAsia"/>
          <w:color w:val="auto"/>
          <w:highlight w:val="none"/>
        </w:rPr>
        <w:t>万元，数量为</w:t>
      </w:r>
      <w:r>
        <w:rPr>
          <w:rFonts w:hint="eastAsia"/>
          <w:color w:val="auto"/>
          <w:highlight w:val="none"/>
          <w:lang w:val="en-US" w:eastAsia="zh-CN"/>
        </w:rPr>
        <w:t>30</w:t>
      </w:r>
      <w:r>
        <w:rPr>
          <w:rFonts w:hint="eastAsia"/>
          <w:color w:val="auto"/>
          <w:highlight w:val="none"/>
        </w:rPr>
        <w:t>万元。本项目预算额度测算依据充分，严格按照标准编制，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4A4B4767">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3A46C7C4">
      <w:pPr>
        <w:ind w:firstLine="562"/>
        <w:rPr>
          <w:b/>
          <w:bCs/>
          <w:color w:val="auto"/>
          <w:highlight w:val="none"/>
        </w:rPr>
      </w:pPr>
      <w:r>
        <w:rPr>
          <w:rFonts w:hint="eastAsia"/>
          <w:b/>
          <w:bCs/>
          <w:color w:val="auto"/>
          <w:highlight w:val="none"/>
        </w:rPr>
        <w:t>（2）资金分配合理性</w:t>
      </w:r>
    </w:p>
    <w:p w14:paraId="44E4A773">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申请2023年博物馆纪念馆逐步免费开放专项资金项目资金的请示</w:t>
      </w:r>
      <w:r>
        <w:rPr>
          <w:rFonts w:hint="eastAsia"/>
          <w:color w:val="auto"/>
          <w:highlight w:val="none"/>
          <w:lang w:eastAsia="zh-Hans" w:bidi="ar"/>
        </w:rPr>
        <w:t>》</w:t>
      </w:r>
      <w:r>
        <w:rPr>
          <w:rFonts w:hint="eastAsia"/>
          <w:color w:val="auto"/>
          <w:highlight w:val="none"/>
          <w:lang w:bidi="ar"/>
        </w:rPr>
        <w:t>和《2023年博物馆纪念馆逐步免费开放专项资金项目实施方案》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。根据《2023年博物馆纪念馆逐步免费开放专项资金资金下达文件》文件显示，本项目实际到位资金</w:t>
      </w:r>
      <w:r>
        <w:rPr>
          <w:rFonts w:hint="eastAsia"/>
          <w:color w:val="auto"/>
          <w:highlight w:val="none"/>
          <w:lang w:val="en-US" w:eastAsia="zh-CN" w:bidi="ar"/>
        </w:rPr>
        <w:t>30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BAF981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9FBEDE6">
      <w:pPr>
        <w:pStyle w:val="4"/>
        <w:ind w:firstLine="643"/>
        <w:rPr>
          <w:color w:val="auto"/>
          <w:highlight w:val="none"/>
        </w:rPr>
      </w:pPr>
      <w:r>
        <w:rPr>
          <w:rFonts w:hint="eastAsia"/>
          <w:color w:val="auto"/>
          <w:highlight w:val="none"/>
        </w:rPr>
        <w:t>（二）项目过程情况</w:t>
      </w:r>
    </w:p>
    <w:p w14:paraId="7C5F341C">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16.62</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964BA5A">
      <w:pPr>
        <w:pStyle w:val="2"/>
        <w:ind w:firstLine="562"/>
        <w:rPr>
          <w:color w:val="auto"/>
          <w:highlight w:val="none"/>
        </w:rPr>
      </w:pPr>
      <w:r>
        <w:rPr>
          <w:rFonts w:hint="eastAsia"/>
          <w:color w:val="auto"/>
          <w:highlight w:val="none"/>
        </w:rPr>
        <w:t>1.资金管理情况分析</w:t>
      </w:r>
    </w:p>
    <w:p w14:paraId="24EDC884">
      <w:pPr>
        <w:ind w:firstLine="562"/>
        <w:rPr>
          <w:b/>
          <w:bCs/>
          <w:color w:val="auto"/>
          <w:highlight w:val="none"/>
        </w:rPr>
      </w:pPr>
      <w:r>
        <w:rPr>
          <w:rFonts w:hint="eastAsia"/>
          <w:b/>
          <w:bCs/>
          <w:color w:val="auto"/>
          <w:highlight w:val="none"/>
        </w:rPr>
        <w:t>（1）资金到位率</w:t>
      </w:r>
    </w:p>
    <w:p w14:paraId="10AE17BA">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30</w:t>
      </w:r>
      <w:r>
        <w:rPr>
          <w:rFonts w:hint="eastAsia"/>
          <w:color w:val="auto"/>
          <w:highlight w:val="none"/>
        </w:rPr>
        <w:t>万元，其中：本级财政安排资金</w:t>
      </w:r>
      <w:r>
        <w:rPr>
          <w:rFonts w:hint="eastAsia"/>
          <w:color w:val="auto"/>
          <w:highlight w:val="none"/>
          <w:lang w:val="en-US" w:eastAsia="zh-CN"/>
        </w:rPr>
        <w:t>30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30</w:t>
      </w:r>
      <w:r>
        <w:rPr>
          <w:rFonts w:hint="eastAsia"/>
          <w:color w:val="auto"/>
          <w:highlight w:val="none"/>
        </w:rPr>
        <w:t>万元，资金到位率=（实际到位资金/预算资金）×100%=（</w:t>
      </w:r>
      <w:r>
        <w:rPr>
          <w:rFonts w:hint="eastAsia"/>
          <w:color w:val="auto"/>
          <w:highlight w:val="none"/>
          <w:lang w:val="en-US" w:eastAsia="zh-CN"/>
        </w:rPr>
        <w:t>30</w:t>
      </w:r>
      <w:r>
        <w:rPr>
          <w:rFonts w:hint="eastAsia"/>
          <w:color w:val="auto"/>
          <w:highlight w:val="none"/>
        </w:rPr>
        <w:t>/</w:t>
      </w:r>
      <w:r>
        <w:rPr>
          <w:rFonts w:hint="eastAsia"/>
          <w:color w:val="auto"/>
          <w:highlight w:val="none"/>
          <w:lang w:val="en-US" w:eastAsia="zh-CN"/>
        </w:rPr>
        <w:t>30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2282619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BAA3CC0">
      <w:pPr>
        <w:ind w:firstLine="562"/>
        <w:rPr>
          <w:color w:val="auto"/>
          <w:highlight w:val="none"/>
        </w:rPr>
      </w:pPr>
      <w:r>
        <w:rPr>
          <w:rFonts w:hint="eastAsia"/>
          <w:b/>
          <w:bCs/>
          <w:color w:val="auto"/>
          <w:highlight w:val="none"/>
        </w:rPr>
        <w:t>（2）预算执行率</w:t>
      </w:r>
    </w:p>
    <w:p w14:paraId="3F9EA85A">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19.79</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19.79</w:t>
      </w:r>
      <w:r>
        <w:rPr>
          <w:rFonts w:hint="eastAsia"/>
          <w:color w:val="auto"/>
          <w:highlight w:val="none"/>
        </w:rPr>
        <w:t>/</w:t>
      </w:r>
      <w:r>
        <w:rPr>
          <w:rFonts w:hint="eastAsia"/>
          <w:color w:val="auto"/>
          <w:highlight w:val="none"/>
          <w:lang w:val="en-US" w:eastAsia="zh-CN"/>
        </w:rPr>
        <w:t>30</w:t>
      </w:r>
      <w:r>
        <w:rPr>
          <w:rFonts w:hint="eastAsia"/>
          <w:color w:val="auto"/>
          <w:highlight w:val="none"/>
        </w:rPr>
        <w:t>）*100%=</w:t>
      </w:r>
      <w:r>
        <w:rPr>
          <w:rFonts w:hint="eastAsia"/>
          <w:color w:val="auto"/>
          <w:highlight w:val="none"/>
          <w:lang w:val="en-US" w:eastAsia="zh-CN"/>
        </w:rPr>
        <w:t>66</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66</w:t>
      </w:r>
      <w:r>
        <w:rPr>
          <w:rFonts w:hint="eastAsia"/>
          <w:color w:val="auto"/>
          <w:highlight w:val="none"/>
        </w:rPr>
        <w:t>%*7=</w:t>
      </w:r>
      <w:r>
        <w:rPr>
          <w:rFonts w:hint="eastAsia"/>
          <w:color w:val="auto"/>
          <w:highlight w:val="none"/>
          <w:lang w:val="en-US" w:eastAsia="zh-CN"/>
        </w:rPr>
        <w:t>4.62</w:t>
      </w:r>
      <w:r>
        <w:rPr>
          <w:rFonts w:hint="eastAsia"/>
          <w:color w:val="auto"/>
          <w:highlight w:val="none"/>
        </w:rPr>
        <w:t>分。</w:t>
      </w:r>
    </w:p>
    <w:p w14:paraId="2FA4772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4.62</w:t>
      </w:r>
      <w:r>
        <w:rPr>
          <w:rFonts w:hint="eastAsia"/>
          <w:color w:val="auto"/>
          <w:highlight w:val="none"/>
          <w:lang w:eastAsia="zh-Hans"/>
        </w:rPr>
        <w:t>分</w:t>
      </w:r>
      <w:r>
        <w:rPr>
          <w:rFonts w:hint="eastAsia"/>
          <w:color w:val="auto"/>
          <w:highlight w:val="none"/>
        </w:rPr>
        <w:t>，本项目资金分配合理。</w:t>
      </w:r>
    </w:p>
    <w:p w14:paraId="395B5FEC">
      <w:pPr>
        <w:ind w:firstLine="562"/>
        <w:rPr>
          <w:b/>
          <w:bCs/>
          <w:color w:val="auto"/>
          <w:highlight w:val="none"/>
        </w:rPr>
      </w:pPr>
      <w:r>
        <w:rPr>
          <w:rFonts w:hint="eastAsia"/>
          <w:b/>
          <w:bCs/>
          <w:color w:val="auto"/>
          <w:highlight w:val="none"/>
        </w:rPr>
        <w:t>（3）资金使用合规性</w:t>
      </w:r>
    </w:p>
    <w:p w14:paraId="739B5F07">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博物馆</w:t>
      </w:r>
      <w:r>
        <w:rPr>
          <w:color w:val="auto"/>
          <w:highlight w:val="none"/>
        </w:rPr>
        <w:t>资金管理办法》</w:t>
      </w:r>
      <w:r>
        <w:rPr>
          <w:rFonts w:hint="eastAsia"/>
          <w:color w:val="auto"/>
          <w:highlight w:val="none"/>
          <w:lang w:eastAsia="zh-CN"/>
        </w:rPr>
        <w:t>《博物馆免费开放</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655593B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7F7B8679">
      <w:pPr>
        <w:pStyle w:val="2"/>
        <w:ind w:firstLine="562"/>
        <w:rPr>
          <w:color w:val="auto"/>
          <w:highlight w:val="none"/>
        </w:rPr>
      </w:pPr>
      <w:r>
        <w:rPr>
          <w:rFonts w:hint="eastAsia"/>
          <w:color w:val="auto"/>
          <w:highlight w:val="none"/>
        </w:rPr>
        <w:t>2.组织实施情况分析</w:t>
      </w:r>
    </w:p>
    <w:p w14:paraId="1A149ACD">
      <w:pPr>
        <w:ind w:firstLine="562"/>
        <w:rPr>
          <w:b/>
          <w:bCs/>
          <w:color w:val="auto"/>
          <w:highlight w:val="none"/>
        </w:rPr>
      </w:pPr>
      <w:r>
        <w:rPr>
          <w:rFonts w:hint="eastAsia"/>
          <w:b/>
          <w:bCs/>
          <w:color w:val="auto"/>
          <w:highlight w:val="none"/>
        </w:rPr>
        <w:t>（1）管理制度健全性</w:t>
      </w:r>
    </w:p>
    <w:p w14:paraId="19160263">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博物馆</w:t>
      </w:r>
      <w:r>
        <w:rPr>
          <w:rFonts w:hint="eastAsia"/>
          <w:color w:val="auto"/>
          <w:highlight w:val="none"/>
        </w:rPr>
        <w:t>资金管理办法》《</w:t>
      </w:r>
      <w:r>
        <w:rPr>
          <w:rFonts w:hint="eastAsia"/>
          <w:color w:val="auto"/>
          <w:highlight w:val="none"/>
          <w:lang w:eastAsia="zh-CN"/>
        </w:rPr>
        <w:t>博物馆</w:t>
      </w:r>
      <w:r>
        <w:rPr>
          <w:rFonts w:hint="eastAsia"/>
          <w:color w:val="auto"/>
          <w:highlight w:val="none"/>
        </w:rPr>
        <w:t>收支业务管理制度》《</w:t>
      </w:r>
      <w:r>
        <w:rPr>
          <w:rFonts w:hint="eastAsia"/>
          <w:color w:val="auto"/>
          <w:highlight w:val="none"/>
          <w:lang w:eastAsia="zh-CN"/>
        </w:rPr>
        <w:t>博物馆</w:t>
      </w:r>
      <w:r>
        <w:rPr>
          <w:rFonts w:hint="eastAsia"/>
          <w:color w:val="auto"/>
          <w:highlight w:val="none"/>
        </w:rPr>
        <w:t>政府采购业务管理制度》《</w:t>
      </w:r>
      <w:r>
        <w:rPr>
          <w:rFonts w:hint="eastAsia"/>
          <w:color w:val="auto"/>
          <w:highlight w:val="none"/>
          <w:lang w:eastAsia="zh-CN"/>
        </w:rPr>
        <w:t>博物馆</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7FF966B6">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CB029A9">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1E420970">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，项目启动实施后，为了加快本项目的实施，成立了2023年博物馆纪念馆逐步免费开放专项资金项目工作领导小组，由党组书记</w:t>
      </w:r>
      <w:r>
        <w:rPr>
          <w:rFonts w:hint="eastAsia"/>
          <w:color w:val="auto"/>
          <w:highlight w:val="none"/>
          <w:lang w:eastAsia="zh-CN"/>
        </w:rPr>
        <w:t>李鹏</w:t>
      </w:r>
      <w:r>
        <w:rPr>
          <w:rFonts w:hint="eastAsia"/>
          <w:color w:val="auto"/>
          <w:highlight w:val="none"/>
        </w:rPr>
        <w:t>任组长，负责项目的组织工作；</w:t>
      </w:r>
      <w:r>
        <w:rPr>
          <w:rFonts w:hint="eastAsia"/>
          <w:color w:val="auto"/>
          <w:highlight w:val="none"/>
          <w:lang w:eastAsia="zh-CN"/>
        </w:rPr>
        <w:t>才仁加甫</w:t>
      </w:r>
      <w:r>
        <w:rPr>
          <w:rFonts w:hint="eastAsia"/>
          <w:color w:val="auto"/>
          <w:highlight w:val="none"/>
        </w:rPr>
        <w:t>任副组长，负责项目的实施工作；组员包括：</w:t>
      </w:r>
      <w:r>
        <w:rPr>
          <w:rFonts w:hint="eastAsia"/>
          <w:color w:val="auto"/>
          <w:highlight w:val="none"/>
          <w:lang w:eastAsia="zh-CN"/>
        </w:rPr>
        <w:t>巴叶</w:t>
      </w:r>
      <w:r>
        <w:rPr>
          <w:rFonts w:hint="eastAsia"/>
          <w:color w:val="auto"/>
          <w:highlight w:val="none"/>
        </w:rPr>
        <w:t>，主要负责项目监督管理、验收以及资金核拨等工作。</w:t>
      </w:r>
    </w:p>
    <w:p w14:paraId="102AC90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FDD6692">
      <w:pPr>
        <w:pStyle w:val="4"/>
        <w:ind w:left="560" w:leftChars="200" w:firstLine="0" w:firstLineChars="0"/>
        <w:rPr>
          <w:color w:val="auto"/>
          <w:highlight w:val="none"/>
        </w:rPr>
      </w:pPr>
      <w:r>
        <w:rPr>
          <w:rFonts w:hint="eastAsia"/>
          <w:color w:val="auto"/>
          <w:highlight w:val="none"/>
        </w:rPr>
        <w:t>（三）项目产出情况</w:t>
      </w:r>
    </w:p>
    <w:p w14:paraId="003D0016">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BE92F34">
      <w:pPr>
        <w:pStyle w:val="2"/>
        <w:ind w:firstLine="562"/>
        <w:rPr>
          <w:color w:val="auto"/>
          <w:highlight w:val="none"/>
        </w:rPr>
      </w:pPr>
      <w:r>
        <w:rPr>
          <w:rFonts w:hint="eastAsia"/>
          <w:color w:val="auto"/>
          <w:highlight w:val="none"/>
        </w:rPr>
        <w:t>1.数量指标完成情况分析</w:t>
      </w:r>
    </w:p>
    <w:p w14:paraId="5A846A76">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经费运行场馆</w:t>
      </w:r>
      <w:r>
        <w:rPr>
          <w:rFonts w:hint="eastAsia"/>
          <w:color w:val="auto"/>
          <w:highlight w:val="none"/>
          <w:lang w:eastAsia="zh-CN"/>
        </w:rPr>
        <w:t>”指标：</w:t>
      </w:r>
      <w:r>
        <w:rPr>
          <w:rFonts w:hint="eastAsia"/>
          <w:color w:val="auto"/>
          <w:highlight w:val="none"/>
        </w:rPr>
        <w:t>预期指标值为=1家，实际完成值为1家</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F6DA233">
      <w:pPr>
        <w:pStyle w:val="6"/>
        <w:rPr>
          <w:rFonts w:hint="eastAsia"/>
          <w:color w:val="auto"/>
          <w:highlight w:val="none"/>
        </w:rPr>
      </w:pPr>
      <w:r>
        <w:rPr>
          <w:rFonts w:hint="eastAsia"/>
          <w:color w:val="auto"/>
          <w:highlight w:val="none"/>
          <w:lang w:eastAsia="zh-CN"/>
        </w:rPr>
        <w:t>“</w:t>
      </w:r>
      <w:r>
        <w:rPr>
          <w:rFonts w:hint="eastAsia"/>
          <w:color w:val="auto"/>
          <w:highlight w:val="none"/>
        </w:rPr>
        <w:t>开展纪念日及教育活动</w:t>
      </w:r>
      <w:r>
        <w:rPr>
          <w:rFonts w:hint="eastAsia"/>
          <w:color w:val="auto"/>
          <w:highlight w:val="none"/>
          <w:lang w:eastAsia="zh-CN"/>
        </w:rPr>
        <w:t>”指标：</w:t>
      </w:r>
      <w:r>
        <w:rPr>
          <w:rFonts w:hint="eastAsia"/>
          <w:color w:val="auto"/>
          <w:highlight w:val="none"/>
        </w:rPr>
        <w:t>预期指标值为≥60场/次，实际完成值为6</w:t>
      </w:r>
      <w:r>
        <w:rPr>
          <w:rFonts w:hint="eastAsia"/>
          <w:color w:val="auto"/>
          <w:highlight w:val="none"/>
          <w:lang w:val="en-US" w:eastAsia="zh-CN"/>
        </w:rPr>
        <w:t>5</w:t>
      </w:r>
      <w:r>
        <w:rPr>
          <w:rFonts w:hint="eastAsia"/>
          <w:color w:val="auto"/>
          <w:highlight w:val="none"/>
        </w:rPr>
        <w:t>场/次</w:t>
      </w:r>
      <w:r>
        <w:rPr>
          <w:rFonts w:hint="eastAsia"/>
          <w:color w:val="auto"/>
          <w:highlight w:val="none"/>
          <w:lang w:eastAsia="zh-CN"/>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52E9D12">
      <w:pPr>
        <w:pStyle w:val="2"/>
        <w:ind w:firstLine="562"/>
        <w:rPr>
          <w:color w:val="auto"/>
          <w:highlight w:val="none"/>
        </w:rPr>
      </w:pPr>
      <w:r>
        <w:rPr>
          <w:rFonts w:hint="eastAsia"/>
          <w:color w:val="auto"/>
          <w:highlight w:val="none"/>
        </w:rPr>
        <w:t>2.质量指标完成情况分析</w:t>
      </w:r>
    </w:p>
    <w:p w14:paraId="79436F69">
      <w:pPr>
        <w:ind w:firstLine="560"/>
        <w:rPr>
          <w:rFonts w:hint="eastAsia"/>
          <w:color w:val="auto"/>
          <w:highlight w:val="none"/>
        </w:rPr>
      </w:pPr>
      <w:r>
        <w:rPr>
          <w:rFonts w:hint="eastAsia"/>
          <w:color w:val="auto"/>
          <w:highlight w:val="none"/>
        </w:rPr>
        <w:t>“免费开放绩效考评率”指标：预期指标值为≥95%，实际完成指标值为95%，指标完成率为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3DE4FFA">
      <w:pPr>
        <w:ind w:firstLine="560"/>
        <w:rPr>
          <w:rFonts w:hint="eastAsia"/>
          <w:color w:val="auto"/>
          <w:highlight w:val="none"/>
          <w:lang w:eastAsia="zh-CN"/>
        </w:rPr>
      </w:pPr>
      <w:r>
        <w:rPr>
          <w:rFonts w:hint="eastAsia"/>
          <w:color w:val="auto"/>
          <w:highlight w:val="none"/>
        </w:rPr>
        <w:t>“开展活动率”指标：预期指标值为≥95%，实际完成指标值为95%，指标完成率为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9E9D2F0">
      <w:pPr>
        <w:pStyle w:val="2"/>
        <w:ind w:firstLine="562"/>
        <w:rPr>
          <w:color w:val="auto"/>
          <w:highlight w:val="none"/>
        </w:rPr>
      </w:pPr>
      <w:r>
        <w:rPr>
          <w:rFonts w:hint="eastAsia"/>
          <w:color w:val="auto"/>
          <w:highlight w:val="none"/>
        </w:rPr>
        <w:t>3.时效指标完成情况分析</w:t>
      </w:r>
    </w:p>
    <w:p w14:paraId="47575A6B">
      <w:pPr>
        <w:ind w:firstLine="560"/>
        <w:rPr>
          <w:rFonts w:hint="eastAsia"/>
          <w:color w:val="auto"/>
          <w:highlight w:val="none"/>
        </w:rPr>
      </w:pPr>
      <w:r>
        <w:rPr>
          <w:rFonts w:hint="eastAsia"/>
          <w:color w:val="auto"/>
          <w:highlight w:val="none"/>
        </w:rPr>
        <w:t>“全年免费开放天数”指标：预期指标值为&gt;=330天，实际完成指标值为</w:t>
      </w:r>
      <w:r>
        <w:rPr>
          <w:rFonts w:hint="eastAsia"/>
          <w:color w:val="auto"/>
          <w:highlight w:val="none"/>
          <w:lang w:val="en-US" w:eastAsia="zh-CN"/>
        </w:rPr>
        <w:t>356天</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2A78938">
      <w:pPr>
        <w:ind w:firstLine="560"/>
        <w:rPr>
          <w:rFonts w:hint="eastAsia"/>
          <w:color w:val="auto"/>
          <w:highlight w:val="none"/>
          <w:lang w:eastAsia="zh-CN"/>
        </w:rPr>
      </w:pPr>
      <w:r>
        <w:rPr>
          <w:rFonts w:hint="eastAsia"/>
          <w:color w:val="auto"/>
          <w:highlight w:val="none"/>
        </w:rPr>
        <w:t>“活动开展及时率”指标：预期指标值为≥95%，实际完成指标值为95%，指标完成率为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E356238">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9C93420">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11.02</w:t>
      </w:r>
      <w:r>
        <w:rPr>
          <w:rFonts w:hint="eastAsia"/>
          <w:color w:val="auto"/>
          <w:highlight w:val="none"/>
          <w:lang w:val="zh-TW" w:eastAsia="zh-TW"/>
        </w:rPr>
        <w:t>分</w:t>
      </w:r>
      <w:r>
        <w:rPr>
          <w:rFonts w:hint="eastAsia"/>
          <w:color w:val="auto"/>
          <w:highlight w:val="none"/>
          <w:lang w:val="zh-TW"/>
        </w:rPr>
        <w:t>。</w:t>
      </w:r>
    </w:p>
    <w:p w14:paraId="4D92439F">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7F5D01EA">
      <w:pPr>
        <w:ind w:firstLine="560"/>
        <w:rPr>
          <w:rFonts w:hint="eastAsia"/>
          <w:color w:val="auto"/>
          <w:highlight w:val="none"/>
        </w:rPr>
      </w:pPr>
      <w:r>
        <w:rPr>
          <w:rFonts w:hint="eastAsia"/>
          <w:color w:val="auto"/>
          <w:highlight w:val="none"/>
        </w:rPr>
        <w:t>“聘用人员工资及社保”指标：预期指标值为</w:t>
      </w:r>
      <w:r>
        <w:rPr>
          <w:rFonts w:hint="eastAsia"/>
          <w:color w:val="auto"/>
          <w:highlight w:val="none"/>
          <w:lang w:eastAsia="zh-CN"/>
        </w:rPr>
        <w:t>〈</w:t>
      </w:r>
      <w:r>
        <w:rPr>
          <w:rFonts w:hint="eastAsia"/>
          <w:color w:val="auto"/>
          <w:highlight w:val="none"/>
        </w:rPr>
        <w:t>=17万，实际完成指标值为14.89万元，指标完成率为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3CBE16A">
      <w:pPr>
        <w:ind w:firstLine="560"/>
        <w:rPr>
          <w:rFonts w:hint="eastAsia"/>
          <w:color w:val="auto"/>
          <w:highlight w:val="none"/>
        </w:rPr>
      </w:pPr>
      <w:r>
        <w:rPr>
          <w:rFonts w:hint="eastAsia"/>
          <w:color w:val="auto"/>
          <w:highlight w:val="none"/>
        </w:rPr>
        <w:t>“展厅日常维护及经费活动”指标：预期指标值为</w:t>
      </w:r>
      <w:r>
        <w:rPr>
          <w:rFonts w:hint="eastAsia"/>
          <w:color w:val="auto"/>
          <w:highlight w:val="none"/>
          <w:lang w:eastAsia="zh-CN"/>
        </w:rPr>
        <w:t>〈</w:t>
      </w:r>
      <w:r>
        <w:rPr>
          <w:rFonts w:hint="eastAsia"/>
          <w:color w:val="auto"/>
          <w:highlight w:val="none"/>
        </w:rPr>
        <w:t>=1</w:t>
      </w:r>
      <w:r>
        <w:rPr>
          <w:rFonts w:hint="eastAsia"/>
          <w:color w:val="auto"/>
          <w:highlight w:val="none"/>
          <w:lang w:val="en-US" w:eastAsia="zh-CN"/>
        </w:rPr>
        <w:t>3</w:t>
      </w:r>
      <w:r>
        <w:rPr>
          <w:rFonts w:hint="eastAsia"/>
          <w:color w:val="auto"/>
          <w:highlight w:val="none"/>
        </w:rPr>
        <w:t>万，实际完成指标值为</w:t>
      </w:r>
      <w:r>
        <w:rPr>
          <w:rFonts w:hint="eastAsia"/>
          <w:color w:val="auto"/>
          <w:highlight w:val="none"/>
          <w:lang w:val="en-US" w:eastAsia="zh-CN"/>
        </w:rPr>
        <w:t>4.9</w:t>
      </w:r>
      <w:r>
        <w:rPr>
          <w:rFonts w:hint="eastAsia"/>
          <w:color w:val="auto"/>
          <w:highlight w:val="none"/>
        </w:rPr>
        <w:t>万元，指标完成率为</w:t>
      </w:r>
      <w:r>
        <w:rPr>
          <w:rFonts w:hint="eastAsia"/>
          <w:color w:val="auto"/>
          <w:highlight w:val="none"/>
          <w:lang w:val="en-US" w:eastAsia="zh-CN"/>
        </w:rPr>
        <w:t>37.69</w:t>
      </w:r>
      <w:r>
        <w:rPr>
          <w:rFonts w:hint="eastAsia"/>
          <w:color w:val="auto"/>
          <w:highlight w:val="none"/>
        </w:rPr>
        <w:t>%，偏差率</w:t>
      </w:r>
      <w:r>
        <w:rPr>
          <w:rFonts w:hint="eastAsia"/>
          <w:color w:val="auto"/>
          <w:highlight w:val="none"/>
          <w:lang w:val="en-US" w:eastAsia="zh-CN"/>
        </w:rPr>
        <w:t>62.31</w:t>
      </w:r>
      <w:r>
        <w:rPr>
          <w:rFonts w:hint="eastAsia"/>
          <w:color w:val="auto"/>
          <w:highlight w:val="none"/>
        </w:rPr>
        <w:t>%，偏差主要原因是：年初设定目标较高。</w:t>
      </w:r>
    </w:p>
    <w:p w14:paraId="6FC23DDD">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299B8F8B">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EA627DA">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312388D8">
      <w:pPr>
        <w:ind w:firstLine="560"/>
        <w:rPr>
          <w:rFonts w:hint="eastAsia"/>
          <w:color w:val="auto"/>
          <w:highlight w:val="none"/>
        </w:rPr>
      </w:pPr>
      <w:r>
        <w:rPr>
          <w:rFonts w:hint="eastAsia"/>
          <w:color w:val="auto"/>
          <w:highlight w:val="none"/>
        </w:rPr>
        <w:t>“丰富群众文化知识，培养青少年的爱国主义情操，弘扬中华民族传统文化。”指标：预期指标值为有效提高，实际完成指标值为达成目标，指标完成率为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6F901E8">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3C84D887">
      <w:pPr>
        <w:ind w:firstLine="560"/>
        <w:rPr>
          <w:rFonts w:hint="eastAsia"/>
          <w:color w:val="auto"/>
          <w:highlight w:val="none"/>
        </w:rPr>
      </w:pPr>
      <w:r>
        <w:rPr>
          <w:rFonts w:hint="eastAsia"/>
          <w:color w:val="auto"/>
          <w:highlight w:val="none"/>
        </w:rPr>
        <w:t>“参观者及工作人员满意度”指标：预期指标值为≥95%，实际完成指标值为95%，指标完成率为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B004F4E">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0E600699">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30万元，全年预算数为30万元，全年执行数为19.79万元，预算执行率为66%。</w:t>
      </w:r>
    </w:p>
    <w:p w14:paraId="4AAB8F2F">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19个，扣分指标数量2个，经分析计算所有三级指标完成率得出，本项目</w:t>
      </w:r>
      <w:r>
        <w:rPr>
          <w:rFonts w:hint="eastAsia"/>
          <w:color w:val="auto"/>
          <w:highlight w:val="none"/>
        </w:rPr>
        <w:t>总体完成率为</w:t>
      </w:r>
      <w:r>
        <w:rPr>
          <w:rFonts w:hint="eastAsia"/>
          <w:color w:val="auto"/>
          <w:highlight w:val="none"/>
          <w:lang w:val="en-US" w:eastAsia="zh-CN"/>
        </w:rPr>
        <w:t>95.41</w:t>
      </w:r>
      <w:r>
        <w:rPr>
          <w:rFonts w:hint="eastAsia"/>
          <w:color w:val="auto"/>
          <w:highlight w:val="none"/>
          <w:lang w:val="zh-TW" w:eastAsia="zh-TW"/>
        </w:rPr>
        <w:t>%。</w:t>
      </w:r>
    </w:p>
    <w:p w14:paraId="1F700483">
      <w:pPr>
        <w:pStyle w:val="6"/>
        <w:rPr>
          <w:rFonts w:hint="default"/>
          <w:color w:val="auto"/>
          <w:highlight w:val="none"/>
          <w:lang w:val="en-US" w:eastAsia="zh-CN"/>
        </w:rPr>
      </w:pPr>
      <w:r>
        <w:rPr>
          <w:rFonts w:hint="eastAsia"/>
          <w:color w:val="auto"/>
          <w:highlight w:val="none"/>
          <w:lang w:val="en-US" w:eastAsia="zh-CN"/>
        </w:rPr>
        <w:t>综上所述本项目预算执行率与总体完成率之间的偏差为29.41%。</w:t>
      </w:r>
    </w:p>
    <w:p w14:paraId="633A0CF9">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29.41</w:t>
      </w:r>
      <w:r>
        <w:rPr>
          <w:rFonts w:hint="default" w:ascii="Times New Roman" w:hAnsi="Times New Roman" w:cs="Times New Roman"/>
          <w:color w:val="auto"/>
          <w:highlight w:val="none"/>
          <w:u w:color="000000"/>
          <w:lang w:val="zh-TW" w:eastAsia="zh-CN"/>
        </w:rPr>
        <w:t>%，造成偏离的主要原因是：本单位</w:t>
      </w:r>
      <w:r>
        <w:rPr>
          <w:rFonts w:hint="default" w:ascii="Times New Roman" w:hAnsi="Times New Roman" w:cs="Times New Roman"/>
          <w:color w:val="auto"/>
          <w:highlight w:val="none"/>
          <w:u w:color="000000"/>
          <w:lang w:val="en-US" w:eastAsia="zh-CN"/>
        </w:rPr>
        <w:t>2023年博物馆纪念馆逐步免费开放专项资金</w:t>
      </w:r>
      <w:r>
        <w:rPr>
          <w:rFonts w:hint="default" w:ascii="Times New Roman" w:hAnsi="Times New Roman" w:cs="Times New Roman"/>
          <w:color w:val="auto"/>
          <w:highlight w:val="none"/>
          <w:u w:color="000000"/>
          <w:lang w:val="zh-TW" w:eastAsia="zh-CN"/>
        </w:rPr>
        <w:t>项目</w:t>
      </w:r>
      <w:r>
        <w:rPr>
          <w:rFonts w:hint="eastAsia" w:ascii="Times New Roman" w:hAnsi="Times New Roman" w:cs="Times New Roman"/>
          <w:color w:val="auto"/>
          <w:highlight w:val="none"/>
          <w:u w:color="000000"/>
          <w:lang w:val="en-US" w:eastAsia="zh-CN"/>
        </w:rPr>
        <w:t>成本指标</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资金支付进度缓慢，</w:t>
      </w:r>
      <w:r>
        <w:rPr>
          <w:rFonts w:hint="default" w:ascii="Times New Roman" w:hAnsi="Times New Roman" w:cs="Times New Roman"/>
          <w:color w:val="auto"/>
          <w:highlight w:val="none"/>
          <w:u w:color="000000"/>
          <w:lang w:val="en-US" w:eastAsia="zh-CN"/>
        </w:rPr>
        <w:t>导致</w:t>
      </w:r>
      <w:r>
        <w:rPr>
          <w:rFonts w:hint="eastAsia" w:ascii="Times New Roman" w:hAnsi="Times New Roman" w:cs="Times New Roman"/>
          <w:color w:val="auto"/>
          <w:highlight w:val="none"/>
          <w:u w:color="000000"/>
          <w:lang w:val="en-US" w:eastAsia="zh-CN"/>
        </w:rPr>
        <w:t>资金未及时支付成功，总体出现29.41</w:t>
      </w:r>
      <w:r>
        <w:rPr>
          <w:rFonts w:hint="eastAsia"/>
          <w:color w:val="auto"/>
          <w:highlight w:val="none"/>
          <w:lang w:val="en-US" w:eastAsia="zh-CN"/>
        </w:rPr>
        <w:t>%偏差，下一步将加强沟通，加快资金支付审批流程及支付进度</w:t>
      </w:r>
      <w:r>
        <w:rPr>
          <w:rFonts w:hint="default" w:ascii="Times New Roman" w:hAnsi="Times New Roman" w:cs="Times New Roman"/>
          <w:color w:val="auto"/>
          <w:highlight w:val="none"/>
          <w:u w:color="000000"/>
          <w:lang w:val="zh-TW" w:eastAsia="zh-CN"/>
        </w:rPr>
        <w:t>。</w:t>
      </w:r>
    </w:p>
    <w:p w14:paraId="51C63515">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F143D39">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626F2426">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b/>
          <w:bCs/>
          <w:color w:val="auto"/>
          <w:highlight w:val="none"/>
          <w:lang w:val="en-US" w:eastAsia="zh-CN"/>
        </w:rPr>
        <w:t>=</w:t>
      </w:r>
      <w:r>
        <w:rPr>
          <w:rFonts w:hint="eastAsia" w:ascii="仿宋_GB2312" w:hAnsi="仿宋_GB2312" w:eastAsia="仿宋_GB2312" w:cs="Times New Roman"/>
          <w:b w:val="0"/>
          <w:bCs w:val="0"/>
          <w:color w:val="auto"/>
          <w:kern w:val="2"/>
          <w:sz w:val="28"/>
          <w:szCs w:val="24"/>
          <w:highlight w:val="none"/>
          <w:lang w:val="en-US" w:eastAsia="zh-CN"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043CFA72">
      <w:pPr>
        <w:pStyle w:val="4"/>
        <w:numPr>
          <w:ilvl w:val="0"/>
          <w:numId w:val="4"/>
        </w:numPr>
        <w:ind w:firstLine="643"/>
        <w:rPr>
          <w:color w:val="auto"/>
          <w:highlight w:val="none"/>
        </w:rPr>
      </w:pPr>
      <w:r>
        <w:rPr>
          <w:rFonts w:hint="eastAsia"/>
          <w:color w:val="auto"/>
          <w:highlight w:val="none"/>
        </w:rPr>
        <w:t>存在的问题及原因分析</w:t>
      </w:r>
    </w:p>
    <w:p w14:paraId="1B4A3DA1">
      <w:pPr>
        <w:numPr>
          <w:ilvl w:val="0"/>
          <w:numId w:val="5"/>
        </w:numPr>
        <w:ind w:firstLine="562"/>
        <w:rPr>
          <w:rFonts w:hint="eastAsia"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展厅日常维护及活动经费指标，目标值</w:t>
      </w:r>
      <w:r>
        <w:rPr>
          <w:rFonts w:hint="eastAsia" w:cs="Times New Roman"/>
          <w:b w:val="0"/>
          <w:color w:val="auto"/>
          <w:kern w:val="2"/>
          <w:sz w:val="28"/>
          <w:szCs w:val="24"/>
          <w:highlight w:val="none"/>
          <w:lang w:val="en-US" w:eastAsia="zh-CN" w:bidi="ar-SA"/>
        </w:rPr>
        <w:t>〈</w:t>
      </w:r>
      <w:r>
        <w:rPr>
          <w:rFonts w:hint="eastAsia" w:ascii="仿宋_GB2312" w:hAnsi="仿宋_GB2312" w:eastAsia="仿宋_GB2312" w:cs="Times New Roman"/>
          <w:b w:val="0"/>
          <w:color w:val="auto"/>
          <w:kern w:val="2"/>
          <w:sz w:val="28"/>
          <w:szCs w:val="24"/>
          <w:highlight w:val="none"/>
          <w:lang w:val="en-US" w:eastAsia="zh-CN" w:bidi="ar-SA"/>
        </w:rPr>
        <w:t>=13万元，实际完成值4.9万元，指标完成率较低，主要是因为有一笔4.1万元卫生间升级维护工程费用支付流程已走完达到支付环节未支付成功及不可移动文物警示牌制作费用1.6万元支付流程已走完达到支付环节未支付成功，采购活动用品支付流程未走完，资金未达到支付环节。</w:t>
      </w:r>
      <w:r>
        <w:rPr>
          <w:rFonts w:hint="eastAsia" w:cs="Times New Roman"/>
          <w:b w:val="0"/>
          <w:color w:val="auto"/>
          <w:kern w:val="2"/>
          <w:sz w:val="28"/>
          <w:szCs w:val="24"/>
          <w:highlight w:val="none"/>
          <w:lang w:val="en-US" w:eastAsia="zh-CN" w:bidi="ar-SA"/>
        </w:rPr>
        <w:t>未支付成功资金主要是资金支付较缓慢。</w:t>
      </w:r>
    </w:p>
    <w:p w14:paraId="15832DC3">
      <w:pPr>
        <w:pStyle w:val="2"/>
        <w:numPr>
          <w:ilvl w:val="0"/>
          <w:numId w:val="0"/>
        </w:numPr>
        <w:ind w:firstLine="562" w:firstLineChars="200"/>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color w:val="auto"/>
          <w:highlight w:val="none"/>
          <w:lang w:val="en-US" w:eastAsia="zh-CN"/>
        </w:rPr>
        <w:t>2、</w:t>
      </w:r>
      <w:r>
        <w:rPr>
          <w:rFonts w:hint="eastAsia" w:ascii="仿宋_GB2312" w:hAnsi="仿宋_GB2312" w:eastAsia="仿宋_GB2312" w:cs="Times New Roman"/>
          <w:b w:val="0"/>
          <w:bCs w:val="0"/>
          <w:color w:val="auto"/>
          <w:kern w:val="2"/>
          <w:sz w:val="28"/>
          <w:szCs w:val="24"/>
          <w:highlight w:val="none"/>
          <w:lang w:val="en-US" w:eastAsia="zh-CN" w:bidi="ar-SA"/>
        </w:rPr>
        <w:t>聘用人员工资及社保指标，目标值</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17万，实际完成值14.89万元，指标完成值未达到目标值，主要是因为我单位临聘人员4人，每人每月工资3000元，其中三人缴纳社保医保，工资及单位承担部分社保医保合计金额4000元左右，一人要求不缴纳社保医保，导致实际支付金额降低，未达成目标值。</w:t>
      </w:r>
    </w:p>
    <w:p w14:paraId="3B512B53">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099301FF">
      <w:pPr>
        <w:numPr>
          <w:ilvl w:val="0"/>
          <w:numId w:val="0"/>
        </w:numPr>
        <w:ind w:firstLine="560" w:firstLineChars="200"/>
        <w:rPr>
          <w:rFonts w:hint="eastAsia" w:cs="Times New Roman"/>
          <w:b w:val="0"/>
          <w:color w:val="auto"/>
          <w:kern w:val="2"/>
          <w:sz w:val="28"/>
          <w:szCs w:val="24"/>
          <w:highlight w:val="none"/>
          <w:lang w:val="en-US" w:eastAsia="zh-CN" w:bidi="ar-SA"/>
        </w:rPr>
      </w:pPr>
      <w:r>
        <w:rPr>
          <w:rFonts w:hint="eastAsia" w:cs="Times New Roman"/>
          <w:b w:val="0"/>
          <w:color w:val="auto"/>
          <w:kern w:val="2"/>
          <w:sz w:val="28"/>
          <w:szCs w:val="24"/>
          <w:highlight w:val="none"/>
          <w:lang w:val="en-US" w:eastAsia="zh-CN" w:bidi="ar-SA"/>
        </w:rPr>
        <w:t>1、推进项目实施管理与资金使用的匹配，根据项目实施计划，制定出科学合理的资金支出方式，不断提高资金使用效率，合理安排使用资金，严抓专项资金的规范使用。为保证资金的安全、合理、高效使用，根据和静县政府、财政局的要求，我单位按照有关资金管理规定，对项目资金的安排、资金使用、资金监管等严格把控。</w:t>
      </w:r>
    </w:p>
    <w:p w14:paraId="2C106311">
      <w:pPr>
        <w:pStyle w:val="2"/>
        <w:numPr>
          <w:ilvl w:val="0"/>
          <w:numId w:val="0"/>
        </w:numPr>
        <w:ind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cs="Times New Roman"/>
          <w:b w:val="0"/>
          <w:bCs w:val="0"/>
          <w:color w:val="auto"/>
          <w:kern w:val="2"/>
          <w:sz w:val="28"/>
          <w:szCs w:val="24"/>
          <w:highlight w:val="none"/>
          <w:lang w:val="en-US" w:eastAsia="zh-CN" w:bidi="ar-SA"/>
        </w:rPr>
        <w:t>2</w:t>
      </w:r>
      <w:r>
        <w:rPr>
          <w:rFonts w:hint="eastAsia" w:cs="Times New Roman"/>
          <w:b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完善单位绩效考核机制，保证预算资金按照目标执行</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加强绩效目标设置管理，减少数据偏差，规范预算人员对项目的核算，提高项目预算的准确性。加强单位各科室之间对预算编制的充分沟通，预算编制主要由财务部门负责，财务人员重点在于对数据的统计分析，缺乏对单位项目实际情况的了解，应与各科室加强沟通，使得预算得到有效执行。</w:t>
      </w:r>
    </w:p>
    <w:p w14:paraId="4C7A1877">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5860583E">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D3CC81B">
      <w:pPr>
        <w:ind w:firstLine="560"/>
        <w:rPr>
          <w:rFonts w:hint="eastAsia" w:eastAsia="仿宋_GB2312"/>
          <w:color w:val="auto"/>
          <w:highlight w:val="none"/>
          <w:lang w:val="en-US" w:eastAsia="zh-CN"/>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r>
        <w:rPr>
          <w:rFonts w:hint="eastAsia"/>
          <w:color w:val="auto"/>
          <w:highlight w:val="none"/>
          <w:lang w:val="en-US" w:eastAsia="zh-CN"/>
        </w:rPr>
        <w:t xml:space="preserve"> </w:t>
      </w:r>
    </w:p>
    <w:p w14:paraId="16819D95">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1059FFD5">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515809E3">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9887BC2">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B8CC624">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2DE63BA9">
      <w:pPr>
        <w:ind w:firstLine="560"/>
        <w:rPr>
          <w:color w:val="auto"/>
          <w:highlight w:val="none"/>
        </w:rPr>
      </w:pPr>
      <w:r>
        <w:rPr>
          <w:rFonts w:hint="eastAsia"/>
          <w:color w:val="auto"/>
          <w:highlight w:val="none"/>
          <w:lang w:val="en-US" w:eastAsia="zh-CN"/>
        </w:rPr>
        <w:t>附件1：项目支出绩效评价体系</w:t>
      </w:r>
    </w:p>
    <w:p w14:paraId="22583E6F">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1A911CDE">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B9AEA">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86A5C7">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0F3EA">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E7595">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FBF46A">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2FBF46A">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49A64">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C3498">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1050A">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abstractNum w:abstractNumId="4">
    <w:nsid w:val="6A41B081"/>
    <w:multiLevelType w:val="singleLevel"/>
    <w:tmpl w:val="6A41B081"/>
    <w:lvl w:ilvl="0" w:tentative="0">
      <w:start w:val="1"/>
      <w:numFmt w:val="decimal"/>
      <w:suff w:val="nothing"/>
      <w:lvlText w:val="%1、"/>
      <w:lvlJc w:val="left"/>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878db68d-d465-4259-8b01-8462b4bdf923"/>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B207D7"/>
    <w:rsid w:val="03BB00BF"/>
    <w:rsid w:val="04FF572D"/>
    <w:rsid w:val="05A318B2"/>
    <w:rsid w:val="066F70AA"/>
    <w:rsid w:val="0708351A"/>
    <w:rsid w:val="0860048A"/>
    <w:rsid w:val="09944CF1"/>
    <w:rsid w:val="099D6902"/>
    <w:rsid w:val="0A401CF1"/>
    <w:rsid w:val="0AD64679"/>
    <w:rsid w:val="0CB12375"/>
    <w:rsid w:val="0D537DC9"/>
    <w:rsid w:val="0D885E3E"/>
    <w:rsid w:val="0DAE2941"/>
    <w:rsid w:val="0DB13246"/>
    <w:rsid w:val="0E5451B9"/>
    <w:rsid w:val="0E760F4E"/>
    <w:rsid w:val="0F9F0794"/>
    <w:rsid w:val="1103023A"/>
    <w:rsid w:val="113A4FB8"/>
    <w:rsid w:val="118C0775"/>
    <w:rsid w:val="128D0D77"/>
    <w:rsid w:val="12F1313F"/>
    <w:rsid w:val="13452317"/>
    <w:rsid w:val="15BC74D0"/>
    <w:rsid w:val="1609105D"/>
    <w:rsid w:val="17AF7810"/>
    <w:rsid w:val="18CA6F2F"/>
    <w:rsid w:val="19CD77A8"/>
    <w:rsid w:val="1A002E18"/>
    <w:rsid w:val="1A041D47"/>
    <w:rsid w:val="1BEA0FE8"/>
    <w:rsid w:val="1C4A596B"/>
    <w:rsid w:val="1FDC50EC"/>
    <w:rsid w:val="20A2086D"/>
    <w:rsid w:val="20A32962"/>
    <w:rsid w:val="20B21A37"/>
    <w:rsid w:val="21817779"/>
    <w:rsid w:val="21A41209"/>
    <w:rsid w:val="23C93BD9"/>
    <w:rsid w:val="245E1E24"/>
    <w:rsid w:val="256845EA"/>
    <w:rsid w:val="25A91CF5"/>
    <w:rsid w:val="26D60150"/>
    <w:rsid w:val="26EF3957"/>
    <w:rsid w:val="289879A1"/>
    <w:rsid w:val="28A61969"/>
    <w:rsid w:val="28E60D8A"/>
    <w:rsid w:val="29C05630"/>
    <w:rsid w:val="2A053F0F"/>
    <w:rsid w:val="2A0C569A"/>
    <w:rsid w:val="2A5C3075"/>
    <w:rsid w:val="2B1F5779"/>
    <w:rsid w:val="2C103347"/>
    <w:rsid w:val="2DC37189"/>
    <w:rsid w:val="2DFA2E97"/>
    <w:rsid w:val="2E483E7E"/>
    <w:rsid w:val="2FAA6D32"/>
    <w:rsid w:val="2FCE2953"/>
    <w:rsid w:val="2FDE37A9"/>
    <w:rsid w:val="315B7BD0"/>
    <w:rsid w:val="332F7DDD"/>
    <w:rsid w:val="33944516"/>
    <w:rsid w:val="33FE342B"/>
    <w:rsid w:val="3522787D"/>
    <w:rsid w:val="36185B49"/>
    <w:rsid w:val="379F4CA9"/>
    <w:rsid w:val="381B6A30"/>
    <w:rsid w:val="386532D8"/>
    <w:rsid w:val="38CC7587"/>
    <w:rsid w:val="3A8B235A"/>
    <w:rsid w:val="3BB743E3"/>
    <w:rsid w:val="3BB84807"/>
    <w:rsid w:val="3C494A2A"/>
    <w:rsid w:val="3E04329F"/>
    <w:rsid w:val="3ED454B4"/>
    <w:rsid w:val="3F3F241F"/>
    <w:rsid w:val="402112BD"/>
    <w:rsid w:val="4112682D"/>
    <w:rsid w:val="413E2617"/>
    <w:rsid w:val="426D5922"/>
    <w:rsid w:val="446A2417"/>
    <w:rsid w:val="453453BA"/>
    <w:rsid w:val="49DF11B1"/>
    <w:rsid w:val="4A94466D"/>
    <w:rsid w:val="4A996944"/>
    <w:rsid w:val="4B545786"/>
    <w:rsid w:val="4C3216AC"/>
    <w:rsid w:val="4D600BD3"/>
    <w:rsid w:val="4E4A6D47"/>
    <w:rsid w:val="4E9F7FF2"/>
    <w:rsid w:val="4EC15329"/>
    <w:rsid w:val="4F733A2D"/>
    <w:rsid w:val="4FB67747"/>
    <w:rsid w:val="4FD56C07"/>
    <w:rsid w:val="500656EA"/>
    <w:rsid w:val="511FF2A1"/>
    <w:rsid w:val="555A1F0B"/>
    <w:rsid w:val="55A5494A"/>
    <w:rsid w:val="56803BC3"/>
    <w:rsid w:val="56FD7960"/>
    <w:rsid w:val="59C02DAD"/>
    <w:rsid w:val="5B1433B1"/>
    <w:rsid w:val="5B647768"/>
    <w:rsid w:val="5C0731FC"/>
    <w:rsid w:val="5E0A0A9B"/>
    <w:rsid w:val="5F9C5101"/>
    <w:rsid w:val="5FAD3ACF"/>
    <w:rsid w:val="618129F7"/>
    <w:rsid w:val="61B92814"/>
    <w:rsid w:val="626F3307"/>
    <w:rsid w:val="62EE2619"/>
    <w:rsid w:val="653A5570"/>
    <w:rsid w:val="66F91E37"/>
    <w:rsid w:val="68291A1A"/>
    <w:rsid w:val="691B1594"/>
    <w:rsid w:val="69BD5A21"/>
    <w:rsid w:val="6ACE22AC"/>
    <w:rsid w:val="6BD214B6"/>
    <w:rsid w:val="6CBF6EF4"/>
    <w:rsid w:val="6F0D6C22"/>
    <w:rsid w:val="6FA31E91"/>
    <w:rsid w:val="6FD57E76"/>
    <w:rsid w:val="6FF06988"/>
    <w:rsid w:val="71801FA8"/>
    <w:rsid w:val="72B05F6E"/>
    <w:rsid w:val="73533899"/>
    <w:rsid w:val="73F727AA"/>
    <w:rsid w:val="74370315"/>
    <w:rsid w:val="745F5557"/>
    <w:rsid w:val="74B60DFD"/>
    <w:rsid w:val="76C21ABB"/>
    <w:rsid w:val="76D2301A"/>
    <w:rsid w:val="771817BE"/>
    <w:rsid w:val="774329A8"/>
    <w:rsid w:val="77861774"/>
    <w:rsid w:val="77C253BD"/>
    <w:rsid w:val="7843589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11711</Words>
  <Characters>12347</Characters>
  <Lines>71</Lines>
  <Paragraphs>20</Paragraphs>
  <TotalTime>51</TotalTime>
  <ScaleCrop>false</ScaleCrop>
  <LinksUpToDate>false</LinksUpToDate>
  <CharactersWithSpaces>12397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2024-11-22T07:02:40Z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