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C3FEA">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0" w:firstLineChars="0"/>
        <w:jc w:val="center"/>
        <w:textAlignment w:val="auto"/>
        <w:rPr>
          <w:color w:val="auto"/>
          <w:highlight w:val="none"/>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14D24A5C">
      <w:pPr>
        <w:pStyle w:val="6"/>
        <w:pageBreakBefore w:val="0"/>
        <w:widowControl w:val="0"/>
        <w:kinsoku/>
        <w:wordWrap/>
        <w:overflowPunct/>
        <w:topLinePunct w:val="0"/>
        <w:autoSpaceDE/>
        <w:autoSpaceDN/>
        <w:bidi w:val="0"/>
        <w:adjustRightInd w:val="0"/>
        <w:snapToGrid w:val="0"/>
        <w:spacing w:before="0" w:line="520" w:lineRule="exact"/>
        <w:textAlignment w:val="auto"/>
        <w:rPr>
          <w:rFonts w:hint="eastAsia"/>
          <w:color w:val="auto"/>
          <w:highlight w:val="none"/>
          <w:lang w:val="en-US" w:eastAsia="zh-CN"/>
        </w:rPr>
      </w:pPr>
    </w:p>
    <w:p w14:paraId="5E749CC8">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80C1ECC">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5C03C2AD">
      <w:pPr>
        <w:pStyle w:val="6"/>
        <w:keepNext/>
        <w:keepLines/>
        <w:pageBreakBefore w:val="0"/>
        <w:widowControl w:val="0"/>
        <w:kinsoku/>
        <w:wordWrap/>
        <w:overflowPunct/>
        <w:topLinePunct w:val="0"/>
        <w:autoSpaceDE/>
        <w:autoSpaceDN/>
        <w:bidi w:val="0"/>
        <w:adjustRightInd w:val="0"/>
        <w:snapToGrid w:val="0"/>
        <w:spacing w:before="0" w:line="520" w:lineRule="exact"/>
        <w:ind w:left="0" w:leftChars="0" w:firstLine="602" w:firstLineChars="200"/>
        <w:textAlignment w:val="auto"/>
        <w:rPr>
          <w:rFonts w:hint="eastAsia"/>
          <w:color w:val="auto"/>
          <w:highlight w:val="none"/>
          <w:lang w:val="en-US" w:eastAsia="zh-CN"/>
        </w:rPr>
      </w:pPr>
      <w:r>
        <w:rPr>
          <w:rFonts w:hint="eastAsia"/>
          <w:color w:val="auto"/>
          <w:highlight w:val="none"/>
          <w:lang w:val="en-US" w:eastAsia="zh-CN"/>
        </w:rPr>
        <w:t>1.部门主要职能</w:t>
      </w:r>
    </w:p>
    <w:p w14:paraId="6E2EA906">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rPr>
      </w:pPr>
      <w:r>
        <w:rPr>
          <w:rFonts w:hint="eastAsia"/>
          <w:color w:val="auto"/>
          <w:szCs w:val="28"/>
          <w:highlight w:val="none"/>
          <w:lang w:val="en-US" w:eastAsia="zh-CN"/>
        </w:rPr>
        <w:t>和静县本级</w:t>
      </w:r>
      <w:r>
        <w:rPr>
          <w:rFonts w:hint="eastAsia"/>
          <w:color w:val="auto"/>
          <w:szCs w:val="28"/>
          <w:highlight w:val="none"/>
          <w:lang w:eastAsia="zh-CN"/>
        </w:rPr>
        <w:t>和静县群众工作服务中心</w:t>
      </w:r>
      <w:r>
        <w:rPr>
          <w:rFonts w:hint="eastAsia"/>
          <w:color w:val="auto"/>
          <w:szCs w:val="28"/>
          <w:highlight w:val="none"/>
        </w:rPr>
        <w:t>为</w:t>
      </w:r>
      <w:r>
        <w:rPr>
          <w:rFonts w:hint="eastAsia"/>
          <w:color w:val="auto"/>
          <w:szCs w:val="28"/>
          <w:highlight w:val="none"/>
          <w:lang w:eastAsia="zh-CN"/>
        </w:rPr>
        <w:t>公益一类事业单位，为县党委直属事业单位，归口县党委办公室管理，机构规格为正科级，</w:t>
      </w:r>
      <w:r>
        <w:rPr>
          <w:rFonts w:hint="eastAsia"/>
          <w:color w:val="auto"/>
          <w:szCs w:val="28"/>
          <w:highlight w:val="none"/>
        </w:rPr>
        <w:t>主要职责是：</w:t>
      </w:r>
    </w:p>
    <w:p w14:paraId="20D63941">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eastAsia="仿宋"/>
          <w:color w:val="auto"/>
          <w:szCs w:val="28"/>
          <w:highlight w:val="none"/>
          <w:lang w:eastAsia="zh-CN"/>
        </w:rPr>
      </w:pPr>
      <w:r>
        <w:rPr>
          <w:rFonts w:hint="eastAsia"/>
          <w:color w:val="auto"/>
          <w:highlight w:val="none"/>
        </w:rPr>
        <w:t>（1）</w:t>
      </w:r>
      <w:r>
        <w:rPr>
          <w:rFonts w:hint="eastAsia"/>
          <w:color w:val="auto"/>
          <w:szCs w:val="28"/>
          <w:highlight w:val="none"/>
          <w:lang w:eastAsia="zh-CN"/>
        </w:rPr>
        <w:t>和静县群众工作服务中心</w:t>
      </w:r>
      <w:r>
        <w:rPr>
          <w:rFonts w:hint="eastAsia"/>
          <w:color w:val="auto"/>
          <w:szCs w:val="28"/>
          <w:highlight w:val="none"/>
        </w:rPr>
        <w:t>为</w:t>
      </w:r>
      <w:r>
        <w:rPr>
          <w:rFonts w:hint="eastAsia"/>
          <w:color w:val="auto"/>
          <w:szCs w:val="28"/>
          <w:highlight w:val="none"/>
          <w:lang w:eastAsia="zh-CN"/>
        </w:rPr>
        <w:t>事业单位</w:t>
      </w:r>
      <w:r>
        <w:rPr>
          <w:rFonts w:hint="eastAsia"/>
          <w:color w:val="auto"/>
          <w:szCs w:val="28"/>
          <w:highlight w:val="none"/>
        </w:rPr>
        <w:t>管理的正科级单位，主要职责是</w:t>
      </w:r>
      <w:r>
        <w:rPr>
          <w:rFonts w:hint="eastAsia"/>
          <w:color w:val="auto"/>
          <w:szCs w:val="28"/>
          <w:highlight w:val="none"/>
          <w:lang w:eastAsia="zh-CN"/>
        </w:rPr>
        <w:t>；</w:t>
      </w:r>
    </w:p>
    <w:p w14:paraId="30D890CE">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2</w:t>
      </w:r>
      <w:r>
        <w:rPr>
          <w:rFonts w:hint="eastAsia"/>
          <w:color w:val="auto"/>
          <w:highlight w:val="none"/>
        </w:rPr>
        <w:t>）</w:t>
      </w:r>
      <w:r>
        <w:rPr>
          <w:rFonts w:hint="eastAsia" w:cs="Times New Roman"/>
          <w:color w:val="auto"/>
          <w:szCs w:val="28"/>
          <w:highlight w:val="none"/>
          <w:lang w:val="en-US" w:eastAsia="zh-CN"/>
        </w:rPr>
        <w:t>贯彻落实党的群众路线，执行党中央、自治区和自治州党委以及县党委关于群众工作的方针政策和部署决定；</w:t>
      </w:r>
    </w:p>
    <w:p w14:paraId="246A63A7">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3</w:t>
      </w:r>
      <w:r>
        <w:rPr>
          <w:rFonts w:hint="eastAsia"/>
          <w:color w:val="auto"/>
          <w:highlight w:val="none"/>
        </w:rPr>
        <w:t>）</w:t>
      </w:r>
      <w:r>
        <w:rPr>
          <w:rFonts w:hint="eastAsia" w:cs="Times New Roman"/>
          <w:color w:val="auto"/>
          <w:szCs w:val="28"/>
          <w:highlight w:val="none"/>
          <w:lang w:val="en-US" w:eastAsia="zh-CN"/>
        </w:rPr>
        <w:t>研究提出全县群众工作的总体规划和重要政策；</w:t>
      </w:r>
    </w:p>
    <w:p w14:paraId="4981D625">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4</w:t>
      </w:r>
      <w:r>
        <w:rPr>
          <w:rFonts w:hint="eastAsia"/>
          <w:color w:val="auto"/>
          <w:highlight w:val="none"/>
        </w:rPr>
        <w:t>）</w:t>
      </w:r>
      <w:r>
        <w:rPr>
          <w:rFonts w:hint="eastAsia" w:cs="Times New Roman"/>
          <w:color w:val="auto"/>
          <w:szCs w:val="28"/>
          <w:highlight w:val="none"/>
          <w:lang w:val="en-US" w:eastAsia="zh-CN"/>
        </w:rPr>
        <w:t>组织开展涉及群众利益的重大决策和重大项目的社会稳定风险评估；</w:t>
      </w:r>
    </w:p>
    <w:p w14:paraId="00414E4D">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5</w:t>
      </w:r>
      <w:r>
        <w:rPr>
          <w:rFonts w:hint="eastAsia"/>
          <w:color w:val="auto"/>
          <w:highlight w:val="none"/>
        </w:rPr>
        <w:t>）</w:t>
      </w:r>
      <w:r>
        <w:rPr>
          <w:rFonts w:hint="eastAsia" w:cs="Times New Roman"/>
          <w:color w:val="auto"/>
          <w:szCs w:val="28"/>
          <w:highlight w:val="none"/>
          <w:lang w:val="en-US" w:eastAsia="zh-CN"/>
        </w:rPr>
        <w:t>调查社情民意，征集群众建言献策，及时向县党委提出完善政策和改进工作的建议；</w:t>
      </w:r>
    </w:p>
    <w:p w14:paraId="745D24D2">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6</w:t>
      </w:r>
      <w:r>
        <w:rPr>
          <w:rFonts w:hint="eastAsia"/>
          <w:color w:val="auto"/>
          <w:highlight w:val="none"/>
        </w:rPr>
        <w:t>）</w:t>
      </w:r>
      <w:r>
        <w:rPr>
          <w:rFonts w:hint="eastAsia" w:cs="Times New Roman"/>
          <w:color w:val="auto"/>
          <w:szCs w:val="28"/>
          <w:highlight w:val="none"/>
          <w:lang w:val="en-US" w:eastAsia="zh-CN"/>
        </w:rPr>
        <w:t>监督检查涉及群众利益政策的贯彻落实；</w:t>
      </w:r>
    </w:p>
    <w:p w14:paraId="13FEB69E">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s="Times New Roman"/>
          <w:color w:val="auto"/>
          <w:szCs w:val="28"/>
          <w:highlight w:val="none"/>
          <w:lang w:val="en-US" w:eastAsia="zh-CN"/>
        </w:rPr>
        <w:t xml:space="preserve">指导和督促检查各乡（镇）、部门群众工作开展情况； </w:t>
      </w:r>
    </w:p>
    <w:p w14:paraId="2A9ABEB5">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8</w:t>
      </w:r>
      <w:r>
        <w:rPr>
          <w:rFonts w:hint="eastAsia"/>
          <w:color w:val="auto"/>
          <w:highlight w:val="none"/>
        </w:rPr>
        <w:t>）</w:t>
      </w:r>
      <w:r>
        <w:rPr>
          <w:rFonts w:hint="eastAsia" w:cs="Times New Roman"/>
          <w:color w:val="auto"/>
          <w:szCs w:val="28"/>
          <w:highlight w:val="none"/>
          <w:lang w:val="en-US" w:eastAsia="zh-CN"/>
        </w:rPr>
        <w:t>组织动员社会力量参与社会管理、服务、促进社会和谐建设；</w:t>
      </w:r>
    </w:p>
    <w:p w14:paraId="7A44BF33">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9</w:t>
      </w:r>
      <w:r>
        <w:rPr>
          <w:rFonts w:hint="eastAsia"/>
          <w:color w:val="auto"/>
          <w:highlight w:val="none"/>
        </w:rPr>
        <w:t>）</w:t>
      </w:r>
      <w:r>
        <w:rPr>
          <w:rFonts w:hint="eastAsia" w:cs="Times New Roman"/>
          <w:color w:val="auto"/>
          <w:szCs w:val="28"/>
          <w:highlight w:val="none"/>
          <w:lang w:val="en-US" w:eastAsia="zh-CN"/>
        </w:rPr>
        <w:t>组织开展矛盾纠纷排查，及时化解人民内部矛盾；</w:t>
      </w:r>
    </w:p>
    <w:p w14:paraId="52441DFB">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rPr>
        <w:t>（1</w:t>
      </w:r>
      <w:r>
        <w:rPr>
          <w:rFonts w:hint="eastAsia"/>
          <w:color w:val="auto"/>
          <w:highlight w:val="none"/>
          <w:lang w:val="en-US" w:eastAsia="zh-CN"/>
        </w:rPr>
        <w:t>0</w:t>
      </w:r>
      <w:r>
        <w:rPr>
          <w:rFonts w:hint="eastAsia"/>
          <w:color w:val="auto"/>
          <w:highlight w:val="none"/>
        </w:rPr>
        <w:t>）</w:t>
      </w:r>
      <w:r>
        <w:rPr>
          <w:rFonts w:hint="eastAsia" w:cs="Times New Roman"/>
          <w:color w:val="auto"/>
          <w:szCs w:val="28"/>
          <w:highlight w:val="none"/>
          <w:lang w:val="en-US" w:eastAsia="zh-CN"/>
        </w:rPr>
        <w:t>完成县党委交办的其他事项。</w:t>
      </w:r>
    </w:p>
    <w:p w14:paraId="2B60A77F">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2.部门机构设置及人员构成</w:t>
      </w:r>
    </w:p>
    <w:p w14:paraId="4C8219AA">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和静县群众工作服务中心单位机构设置：无下属预算单位，无内设科室。和静县群众工作服务中心人员总数13名，其中：在职13名，退休0名，离休0名。实有人员13人。</w:t>
      </w:r>
    </w:p>
    <w:p w14:paraId="3A0C595A">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（二）部门单位年度重点工作</w:t>
      </w:r>
    </w:p>
    <w:p w14:paraId="0AE3FB72">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网格化服务管理方面</w:t>
      </w:r>
    </w:p>
    <w:p w14:paraId="34236B7D">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lang w:val="en-US" w:eastAsia="zh-CN"/>
        </w:rPr>
      </w:pPr>
      <w:r>
        <w:rPr>
          <w:rFonts w:hint="eastAsia"/>
          <w:color w:val="auto"/>
          <w:szCs w:val="28"/>
          <w:highlight w:val="none"/>
          <w:lang w:val="en-US" w:eastAsia="zh-CN"/>
        </w:rPr>
        <w:t>我县共划分基础网格385个、专属网格96个，优化前共有网格员1410名（专职网格员1287名，兼职网格员123名）经过优化后配备专职网格员1268名、兼职网格员123名（大学生村官、公益性岗位、其他临聘人员），各村（社区）建立“民情110”AB岗接收员186人。坚持“一体化”运作，让网格防控更精准。坚持“双报到”提效，让网格防控更全面。坚持</w:t>
      </w:r>
      <w:r>
        <w:rPr>
          <w:rFonts w:hint="default"/>
          <w:color w:val="auto"/>
          <w:szCs w:val="28"/>
          <w:highlight w:val="none"/>
          <w:lang w:val="en-US" w:eastAsia="zh-CN"/>
        </w:rPr>
        <w:t>“数字化”赋能</w:t>
      </w:r>
      <w:r>
        <w:rPr>
          <w:rFonts w:hint="eastAsia"/>
          <w:color w:val="auto"/>
          <w:szCs w:val="28"/>
          <w:highlight w:val="none"/>
          <w:lang w:val="en-US" w:eastAsia="zh-CN"/>
        </w:rPr>
        <w:t>，</w:t>
      </w:r>
      <w:r>
        <w:rPr>
          <w:rFonts w:hint="default"/>
          <w:color w:val="auto"/>
          <w:szCs w:val="28"/>
          <w:highlight w:val="none"/>
          <w:lang w:val="en-US" w:eastAsia="zh-CN"/>
        </w:rPr>
        <w:t>让网格防控更高效</w:t>
      </w:r>
      <w:r>
        <w:rPr>
          <w:rFonts w:hint="eastAsia"/>
          <w:color w:val="auto"/>
          <w:szCs w:val="28"/>
          <w:highlight w:val="none"/>
          <w:lang w:val="en-US" w:eastAsia="zh-CN"/>
        </w:rPr>
        <w:t>。坚持</w:t>
      </w:r>
      <w:r>
        <w:rPr>
          <w:rFonts w:hint="default"/>
          <w:color w:val="auto"/>
          <w:szCs w:val="28"/>
          <w:highlight w:val="none"/>
          <w:lang w:val="en-US" w:eastAsia="zh-CN"/>
        </w:rPr>
        <w:t>“制度化”保障</w:t>
      </w:r>
      <w:r>
        <w:rPr>
          <w:rFonts w:hint="eastAsia"/>
          <w:color w:val="auto"/>
          <w:szCs w:val="28"/>
          <w:highlight w:val="none"/>
          <w:lang w:val="en-US" w:eastAsia="zh-CN"/>
        </w:rPr>
        <w:t>，</w:t>
      </w:r>
      <w:r>
        <w:rPr>
          <w:rFonts w:hint="default"/>
          <w:color w:val="auto"/>
          <w:szCs w:val="28"/>
          <w:highlight w:val="none"/>
          <w:lang w:val="en-US" w:eastAsia="zh-CN"/>
        </w:rPr>
        <w:t>让网格防控更有力</w:t>
      </w:r>
      <w:r>
        <w:rPr>
          <w:rFonts w:hint="eastAsia"/>
          <w:color w:val="auto"/>
          <w:szCs w:val="28"/>
          <w:highlight w:val="none"/>
          <w:lang w:val="en-US" w:eastAsia="zh-CN"/>
        </w:rPr>
        <w:t>。</w:t>
      </w:r>
    </w:p>
    <w:p w14:paraId="117EB377">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rPr>
        <w:t>（2）</w:t>
      </w:r>
      <w:r>
        <w:rPr>
          <w:rFonts w:hint="eastAsia"/>
          <w:color w:val="auto"/>
          <w:highlight w:val="none"/>
          <w:lang w:val="en-US" w:eastAsia="zh-CN"/>
        </w:rPr>
        <w:t>困难诉求收集化解方面</w:t>
      </w:r>
    </w:p>
    <w:p w14:paraId="2058F08F">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lang w:val="en-US" w:eastAsia="zh-CN"/>
        </w:rPr>
      </w:pPr>
      <w:r>
        <w:rPr>
          <w:rFonts w:hint="default"/>
          <w:color w:val="auto"/>
          <w:szCs w:val="28"/>
          <w:highlight w:val="none"/>
          <w:lang w:val="en-US" w:eastAsia="zh-CN"/>
        </w:rPr>
        <w:t>持续做好困难帮扶，着重在“实”上下功夫。抓实困难帮扶这一保障环节，以解决群众最直接最现实、最牵肠挂肚的生产生活问题为切入点，</w:t>
      </w:r>
      <w:r>
        <w:rPr>
          <w:rFonts w:hint="eastAsia"/>
          <w:color w:val="auto"/>
          <w:szCs w:val="28"/>
          <w:highlight w:val="none"/>
          <w:lang w:val="en-US" w:eastAsia="zh-CN"/>
        </w:rPr>
        <w:t>切实提升群众幸福感、获得感</w:t>
      </w:r>
      <w:r>
        <w:rPr>
          <w:rFonts w:hint="default"/>
          <w:color w:val="auto"/>
          <w:szCs w:val="28"/>
          <w:highlight w:val="none"/>
          <w:lang w:val="en-US" w:eastAsia="zh-CN"/>
        </w:rPr>
        <w:t>。</w:t>
      </w:r>
      <w:r>
        <w:rPr>
          <w:rFonts w:hint="eastAsia"/>
          <w:color w:val="auto"/>
          <w:szCs w:val="28"/>
          <w:highlight w:val="none"/>
          <w:lang w:val="en-US" w:eastAsia="zh-CN"/>
        </w:rPr>
        <w:t>今年以来</w:t>
      </w:r>
      <w:r>
        <w:rPr>
          <w:rFonts w:hint="default"/>
          <w:color w:val="auto"/>
          <w:szCs w:val="28"/>
          <w:highlight w:val="none"/>
          <w:lang w:val="en-US" w:eastAsia="zh-CN"/>
        </w:rPr>
        <w:t>共收集解决</w:t>
      </w:r>
      <w:r>
        <w:rPr>
          <w:rFonts w:hint="eastAsia"/>
          <w:color w:val="auto"/>
          <w:szCs w:val="28"/>
          <w:highlight w:val="none"/>
          <w:lang w:val="en-US" w:eastAsia="zh-CN"/>
        </w:rPr>
        <w:t>群众</w:t>
      </w:r>
      <w:r>
        <w:rPr>
          <w:rFonts w:hint="default"/>
          <w:color w:val="auto"/>
          <w:szCs w:val="28"/>
          <w:highlight w:val="none"/>
          <w:lang w:val="en-US" w:eastAsia="zh-CN"/>
        </w:rPr>
        <w:t>困难诉求</w:t>
      </w:r>
      <w:r>
        <w:rPr>
          <w:rFonts w:hint="eastAsia"/>
          <w:color w:val="auto"/>
          <w:szCs w:val="28"/>
          <w:highlight w:val="none"/>
          <w:lang w:val="en-US" w:eastAsia="zh-CN"/>
        </w:rPr>
        <w:t>36115</w:t>
      </w:r>
      <w:r>
        <w:rPr>
          <w:rFonts w:hint="default"/>
          <w:color w:val="auto"/>
          <w:szCs w:val="28"/>
          <w:highlight w:val="none"/>
          <w:lang w:val="en-US" w:eastAsia="zh-CN"/>
        </w:rPr>
        <w:t>条，销号不合理诉求</w:t>
      </w:r>
      <w:r>
        <w:rPr>
          <w:rFonts w:hint="eastAsia"/>
          <w:color w:val="auto"/>
          <w:szCs w:val="28"/>
          <w:highlight w:val="none"/>
          <w:lang w:val="en-US" w:eastAsia="zh-CN"/>
        </w:rPr>
        <w:t>12</w:t>
      </w:r>
      <w:r>
        <w:rPr>
          <w:rFonts w:hint="default"/>
          <w:color w:val="auto"/>
          <w:szCs w:val="28"/>
          <w:highlight w:val="none"/>
          <w:lang w:val="en-US" w:eastAsia="zh-CN"/>
        </w:rPr>
        <w:t>条。</w:t>
      </w:r>
    </w:p>
    <w:p w14:paraId="5F5081CD">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lang w:val="en-US" w:eastAsia="zh-CN"/>
        </w:rPr>
      </w:pPr>
      <w:r>
        <w:rPr>
          <w:rFonts w:hint="eastAsia"/>
          <w:color w:val="auto"/>
          <w:szCs w:val="28"/>
          <w:highlight w:val="none"/>
          <w:lang w:val="en-US" w:eastAsia="zh-CN"/>
        </w:rPr>
        <w:t>（3）矛盾纠纷排查调处方面</w:t>
      </w:r>
    </w:p>
    <w:p w14:paraId="765370B6">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szCs w:val="28"/>
          <w:highlight w:val="none"/>
          <w:lang w:val="en-US" w:eastAsia="zh-CN"/>
        </w:rPr>
      </w:pPr>
      <w:r>
        <w:rPr>
          <w:rFonts w:hint="eastAsia"/>
          <w:color w:val="auto"/>
          <w:szCs w:val="28"/>
          <w:highlight w:val="none"/>
          <w:lang w:val="en-US" w:eastAsia="zh-CN"/>
        </w:rPr>
        <w:t>高度重视</w:t>
      </w:r>
      <w:r>
        <w:rPr>
          <w:rFonts w:hint="default"/>
          <w:color w:val="auto"/>
          <w:szCs w:val="28"/>
          <w:highlight w:val="none"/>
          <w:lang w:val="en-US" w:eastAsia="zh-CN"/>
        </w:rPr>
        <w:t>疫情期间人民群众的</w:t>
      </w:r>
      <w:r>
        <w:rPr>
          <w:rFonts w:hint="eastAsia"/>
          <w:color w:val="auto"/>
          <w:szCs w:val="28"/>
          <w:highlight w:val="none"/>
          <w:lang w:val="en-US" w:eastAsia="zh-CN"/>
        </w:rPr>
        <w:t>矛盾</w:t>
      </w:r>
      <w:r>
        <w:rPr>
          <w:rFonts w:hint="default"/>
          <w:color w:val="auto"/>
          <w:szCs w:val="28"/>
          <w:highlight w:val="none"/>
          <w:lang w:val="en-US" w:eastAsia="zh-CN"/>
        </w:rPr>
        <w:t>纠纷</w:t>
      </w:r>
      <w:r>
        <w:rPr>
          <w:rFonts w:hint="eastAsia"/>
          <w:color w:val="auto"/>
          <w:szCs w:val="28"/>
          <w:highlight w:val="none"/>
          <w:lang w:val="en-US" w:eastAsia="zh-CN"/>
        </w:rPr>
        <w:t>，严格落实矛盾纠纷排查化解“五级联动”工作机制，开展矛盾纠纷排查化解工作，</w:t>
      </w:r>
      <w:r>
        <w:rPr>
          <w:rFonts w:hint="default"/>
          <w:color w:val="auto"/>
          <w:szCs w:val="28"/>
          <w:highlight w:val="none"/>
          <w:lang w:val="en-US" w:eastAsia="zh-CN"/>
        </w:rPr>
        <w:t>为疫情防控阻击战创造和谐稳定的社会环境。</w:t>
      </w:r>
    </w:p>
    <w:p w14:paraId="648C4C62">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14:paraId="12995D8E">
      <w:pPr>
        <w:pageBreakBefore w:val="0"/>
        <w:widowControl w:val="0"/>
        <w:kinsoku/>
        <w:wordWrap/>
        <w:overflowPunct/>
        <w:topLinePunct w:val="0"/>
        <w:autoSpaceDE/>
        <w:autoSpaceDN/>
        <w:bidi w:val="0"/>
        <w:adjustRightInd w:val="0"/>
        <w:snapToGrid w:val="0"/>
        <w:spacing w:line="520" w:lineRule="exact"/>
        <w:ind w:leftChars="0" w:firstLine="602" w:firstLineChars="20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27B19459">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0E79FF8B">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我单位年初预算数为204.43万元，实际预算执行数204.43万元，预算执行率为100%。</w:t>
      </w:r>
    </w:p>
    <w:p w14:paraId="7EC277D5">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3E71C8A5">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全年预算数为214.93万元，全年实际支出资金214.93万元，预算执行率为100%。</w:t>
      </w:r>
    </w:p>
    <w:p w14:paraId="5EEA2087">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eastAsia="仿宋"/>
          <w:color w:val="auto"/>
          <w:highlight w:val="none"/>
          <w:lang w:val="en-US" w:eastAsia="zh-CN"/>
        </w:rPr>
      </w:pPr>
      <w:r>
        <w:rPr>
          <w:rFonts w:hint="eastAsia"/>
          <w:color w:val="auto"/>
          <w:highlight w:val="none"/>
          <w:lang w:val="en-US" w:eastAsia="zh-CN"/>
        </w:rPr>
        <w:t>2.预算调整（追加减）情况</w:t>
      </w:r>
    </w:p>
    <w:p w14:paraId="5AF6F05D">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w:t>
      </w:r>
      <w:r>
        <w:rPr>
          <w:rFonts w:hint="eastAsia" w:ascii="Times New Roman" w:hAnsi="Times New Roman" w:cs="Times New Roman"/>
          <w:bCs/>
          <w:color w:val="auto"/>
          <w:highlight w:val="none"/>
          <w:lang w:val="en-US" w:eastAsia="zh-CN"/>
        </w:rPr>
        <w:t>数204.43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214.93</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5.14</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5.14</w:t>
      </w:r>
      <w:r>
        <w:rPr>
          <w:rFonts w:hint="eastAsia" w:ascii="Times New Roman" w:hAnsi="Times New Roman" w:cs="Times New Roman"/>
          <w:bCs/>
          <w:color w:val="auto"/>
          <w:highlight w:val="none"/>
          <w:lang w:eastAsia="zh-CN"/>
        </w:rPr>
        <w:t>%）。</w:t>
      </w:r>
    </w:p>
    <w:p w14:paraId="16B32BED">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14:paraId="17481FBC">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214.93</w:t>
      </w:r>
      <w:r>
        <w:rPr>
          <w:rFonts w:hint="default"/>
          <w:color w:val="auto"/>
          <w:highlight w:val="none"/>
          <w:lang w:val="en-US" w:eastAsia="zh-CN"/>
        </w:rPr>
        <w:t>万元，其中：</w:t>
      </w:r>
    </w:p>
    <w:p w14:paraId="242185EB">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198.90</w:t>
      </w:r>
      <w:r>
        <w:rPr>
          <w:rFonts w:hint="default"/>
          <w:color w:val="auto"/>
          <w:highlight w:val="none"/>
          <w:lang w:val="en-US" w:eastAsia="zh-CN"/>
        </w:rPr>
        <w:t>万元，资金的使用方向为我单位</w:t>
      </w:r>
      <w:r>
        <w:rPr>
          <w:rFonts w:hint="eastAsia"/>
          <w:color w:val="auto"/>
          <w:highlight w:val="none"/>
          <w:lang w:val="en-US" w:eastAsia="zh-CN"/>
        </w:rPr>
        <w:t>事业</w:t>
      </w:r>
      <w:r>
        <w:rPr>
          <w:rFonts w:hint="default"/>
          <w:color w:val="auto"/>
          <w:highlight w:val="none"/>
          <w:lang w:val="en-US" w:eastAsia="zh-CN"/>
        </w:rPr>
        <w:t>人员经费支出</w:t>
      </w:r>
      <w:r>
        <w:rPr>
          <w:rFonts w:hint="eastAsia"/>
          <w:color w:val="auto"/>
          <w:highlight w:val="none"/>
          <w:lang w:val="en-US" w:eastAsia="zh-CN"/>
        </w:rPr>
        <w:t>171.66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27.24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11C7BBB5">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16.03</w:t>
      </w:r>
      <w:r>
        <w:rPr>
          <w:rFonts w:hint="default"/>
          <w:color w:val="auto"/>
          <w:highlight w:val="none"/>
          <w:lang w:val="en-US" w:eastAsia="zh-CN"/>
        </w:rPr>
        <w:t>万元，主要用于保障和静县群众工作服务中心食堂及办公运行保障项目支出。</w:t>
      </w:r>
    </w:p>
    <w:p w14:paraId="0D648990">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03BD620">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（一）基本支出和使用情况</w:t>
      </w:r>
    </w:p>
    <w:p w14:paraId="73AFD1B8">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198.90万元，全年实际支出198.90万元，资金执行率100%。基本支出严格按照财务管理制度执行，其中：</w:t>
      </w:r>
    </w:p>
    <w:p w14:paraId="3A39D580">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人员经费支出171.66万元，主要包括：基本工资、津贴补贴、奖金、绩效工资、机关事业单位基本养老保险缴费、职业年金缴费、职工基本医疗保险缴费、其他社会保障缴费、住房公积金、其他工资福利支出、生活补助、医疗费补助、其他对个人和家庭的补助支出等。</w:t>
      </w:r>
    </w:p>
    <w:p w14:paraId="0B222D5F">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公用经费支出27.24万元，主要包括：办公费、印刷费、水费、电费、邮电费、取暖费、差旅费、工会经费、公务用车运行维护费、其他交通费用、其他商品和服务支出。</w:t>
      </w:r>
    </w:p>
    <w:p w14:paraId="21ADFBA1">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（二）政策、项目支出和使用情况</w:t>
      </w:r>
    </w:p>
    <w:p w14:paraId="335C0A16">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1.政策、项目支出的投入情况分析</w:t>
      </w:r>
    </w:p>
    <w:p w14:paraId="2D29102B">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项目支出预算16.03</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其中：上级专项资金0万元，本级财政资金16.03万元</w:t>
      </w:r>
      <w:r>
        <w:rPr>
          <w:rFonts w:hint="eastAsia"/>
          <w:color w:val="auto"/>
          <w:highlight w:val="none"/>
          <w:lang w:eastAsia="zh-CN"/>
        </w:rPr>
        <w:t>。</w:t>
      </w:r>
    </w:p>
    <w:p w14:paraId="75DD9EB4">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2.政策、项目支出管理情况</w:t>
      </w:r>
    </w:p>
    <w:p w14:paraId="6EC896C9">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本级财政项目资金和静县群众工作服务中心食堂及办公运行保障项目16.03万元，其中水费、电费按照每月使用数直接支付到相关单位；食堂食材费也是通过财政直接支付到项目实施单位。</w:t>
      </w:r>
    </w:p>
    <w:p w14:paraId="7DECACA7">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资金按照进度支付，明确时间节点，开展项目规划设计、部署工作，认真落实项目任务。工作中突出重点。和静县群众工作服务中心和人社局明确各自职责，共同负责综合大楼内水电费及取暖费，商议后按照比例支付水电费。</w:t>
      </w:r>
    </w:p>
    <w:p w14:paraId="11A9B680">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3.政策、项目支出总体实际使用情况</w:t>
      </w:r>
    </w:p>
    <w:p w14:paraId="5D4ECCC4">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度安排和静县群众工作服务中心食堂及办公运行保障项目支出资金16.03万元，</w:t>
      </w:r>
      <w:r>
        <w:rPr>
          <w:rFonts w:hint="eastAsia"/>
          <w:color w:val="auto"/>
          <w:highlight w:val="none"/>
          <w:lang w:eastAsia="zh-CN"/>
        </w:rPr>
        <w:t>实际</w:t>
      </w:r>
      <w:r>
        <w:rPr>
          <w:rFonts w:hint="eastAsia"/>
          <w:color w:val="auto"/>
          <w:highlight w:val="none"/>
          <w:lang w:val="en-US" w:eastAsia="zh-CN"/>
        </w:rPr>
        <w:t>支出16.03</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其中：上级专项资金支出0万元，本级财政安排项目资金支出16.03万元，项目预算资金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5A10F71F">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办公费</w:t>
      </w:r>
      <w:r>
        <w:rPr>
          <w:rFonts w:hint="default"/>
          <w:color w:val="auto"/>
          <w:highlight w:val="none"/>
          <w:lang w:val="en-US" w:eastAsia="zh-CN"/>
        </w:rPr>
        <w:t>支出5</w:t>
      </w:r>
      <w:r>
        <w:rPr>
          <w:rFonts w:hint="eastAsia"/>
          <w:color w:val="auto"/>
          <w:highlight w:val="none"/>
          <w:lang w:val="en-US" w:eastAsia="zh-CN"/>
        </w:rPr>
        <w:t>.</w:t>
      </w:r>
      <w:r>
        <w:rPr>
          <w:rFonts w:hint="default"/>
          <w:color w:val="auto"/>
          <w:highlight w:val="none"/>
          <w:lang w:val="en-US" w:eastAsia="zh-CN"/>
        </w:rPr>
        <w:t>3</w:t>
      </w:r>
      <w:r>
        <w:rPr>
          <w:rFonts w:hint="eastAsia"/>
          <w:color w:val="auto"/>
          <w:highlight w:val="none"/>
          <w:lang w:val="en-US" w:eastAsia="zh-CN"/>
        </w:rPr>
        <w:t>4</w:t>
      </w:r>
      <w:r>
        <w:rPr>
          <w:rFonts w:hint="default"/>
          <w:color w:val="auto"/>
          <w:highlight w:val="none"/>
          <w:lang w:val="en-US" w:eastAsia="zh-CN"/>
        </w:rPr>
        <w:t>万元，</w:t>
      </w:r>
      <w:r>
        <w:rPr>
          <w:rFonts w:hint="eastAsia"/>
          <w:color w:val="auto"/>
          <w:highlight w:val="none"/>
          <w:lang w:val="en-US" w:eastAsia="zh-CN"/>
        </w:rPr>
        <w:t>咨询费</w:t>
      </w:r>
      <w:r>
        <w:rPr>
          <w:rFonts w:hint="default"/>
          <w:color w:val="auto"/>
          <w:highlight w:val="none"/>
          <w:lang w:val="en-US" w:eastAsia="zh-CN"/>
        </w:rPr>
        <w:t>支出</w:t>
      </w:r>
      <w:r>
        <w:rPr>
          <w:rFonts w:hint="eastAsia"/>
          <w:color w:val="auto"/>
          <w:highlight w:val="none"/>
          <w:lang w:val="en-US" w:eastAsia="zh-CN"/>
        </w:rPr>
        <w:t>1.1</w:t>
      </w:r>
      <w:r>
        <w:rPr>
          <w:rFonts w:hint="default"/>
          <w:color w:val="auto"/>
          <w:highlight w:val="none"/>
          <w:lang w:val="en-US" w:eastAsia="zh-CN"/>
        </w:rPr>
        <w:t>万元，</w:t>
      </w:r>
      <w:r>
        <w:rPr>
          <w:rFonts w:hint="eastAsia"/>
          <w:color w:val="auto"/>
          <w:highlight w:val="none"/>
          <w:lang w:val="en-US" w:eastAsia="zh-CN"/>
        </w:rPr>
        <w:t>水费</w:t>
      </w:r>
      <w:r>
        <w:rPr>
          <w:rFonts w:hint="default"/>
          <w:color w:val="auto"/>
          <w:highlight w:val="none"/>
          <w:lang w:val="en-US" w:eastAsia="zh-CN"/>
        </w:rPr>
        <w:t>支出</w:t>
      </w:r>
      <w:r>
        <w:rPr>
          <w:rFonts w:hint="eastAsia"/>
          <w:color w:val="auto"/>
          <w:highlight w:val="none"/>
          <w:lang w:val="en-US" w:eastAsia="zh-CN"/>
        </w:rPr>
        <w:t>0.97</w:t>
      </w:r>
      <w:r>
        <w:rPr>
          <w:rFonts w:hint="default"/>
          <w:color w:val="auto"/>
          <w:highlight w:val="none"/>
          <w:lang w:val="en-US" w:eastAsia="zh-CN"/>
        </w:rPr>
        <w:t>万元，</w:t>
      </w:r>
      <w:r>
        <w:rPr>
          <w:rFonts w:hint="eastAsia"/>
          <w:color w:val="auto"/>
          <w:highlight w:val="none"/>
          <w:lang w:val="en-US" w:eastAsia="zh-CN"/>
        </w:rPr>
        <w:t>电费4.13</w:t>
      </w:r>
      <w:r>
        <w:rPr>
          <w:rFonts w:hint="default"/>
          <w:color w:val="auto"/>
          <w:highlight w:val="none"/>
          <w:lang w:val="en-US" w:eastAsia="zh-CN"/>
        </w:rPr>
        <w:t>万元，</w:t>
      </w:r>
      <w:r>
        <w:rPr>
          <w:rFonts w:hint="eastAsia"/>
          <w:color w:val="auto"/>
          <w:highlight w:val="none"/>
          <w:lang w:val="en-US" w:eastAsia="zh-CN"/>
        </w:rPr>
        <w:t>差旅费支出0.62</w:t>
      </w:r>
      <w:r>
        <w:rPr>
          <w:rFonts w:hint="default"/>
          <w:color w:val="auto"/>
          <w:highlight w:val="none"/>
          <w:lang w:val="en-US" w:eastAsia="zh-CN"/>
        </w:rPr>
        <w:t>万元</w:t>
      </w:r>
      <w:r>
        <w:rPr>
          <w:rFonts w:hint="eastAsia"/>
          <w:color w:val="auto"/>
          <w:highlight w:val="none"/>
          <w:lang w:val="en-US" w:eastAsia="zh-CN"/>
        </w:rPr>
        <w:t>，培训费支出0.58</w:t>
      </w:r>
      <w:r>
        <w:rPr>
          <w:rFonts w:hint="default"/>
          <w:color w:val="auto"/>
          <w:highlight w:val="none"/>
          <w:lang w:val="en-US" w:eastAsia="zh-CN"/>
        </w:rPr>
        <w:t>万元</w:t>
      </w:r>
      <w:r>
        <w:rPr>
          <w:rFonts w:hint="eastAsia"/>
          <w:color w:val="auto"/>
          <w:highlight w:val="none"/>
          <w:lang w:val="en-US" w:eastAsia="zh-CN"/>
        </w:rPr>
        <w:t>，劳务费支出2.81</w:t>
      </w:r>
      <w:r>
        <w:rPr>
          <w:rFonts w:hint="default"/>
          <w:color w:val="auto"/>
          <w:highlight w:val="none"/>
          <w:lang w:val="en-US" w:eastAsia="zh-CN"/>
        </w:rPr>
        <w:t>万元</w:t>
      </w:r>
      <w:r>
        <w:rPr>
          <w:rFonts w:hint="eastAsia"/>
          <w:color w:val="auto"/>
          <w:highlight w:val="none"/>
          <w:lang w:val="en-US" w:eastAsia="zh-CN"/>
        </w:rPr>
        <w:t>，生活补助支出0.48</w:t>
      </w:r>
      <w:r>
        <w:rPr>
          <w:rFonts w:hint="default"/>
          <w:color w:val="auto"/>
          <w:highlight w:val="none"/>
          <w:lang w:val="en-US" w:eastAsia="zh-CN"/>
        </w:rPr>
        <w:t>万元</w:t>
      </w:r>
      <w:r>
        <w:rPr>
          <w:rFonts w:hint="eastAsia"/>
          <w:color w:val="auto"/>
          <w:highlight w:val="none"/>
          <w:lang w:val="en-US" w:eastAsia="zh-CN"/>
        </w:rPr>
        <w:t xml:space="preserve">。 </w:t>
      </w:r>
    </w:p>
    <w:bookmarkEnd w:id="2"/>
    <w:p w14:paraId="3421DF33">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15614037">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2</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5</w:t>
      </w:r>
      <w:r>
        <w:rPr>
          <w:rFonts w:hint="eastAsia"/>
          <w:color w:val="auto"/>
          <w:highlight w:val="none"/>
          <w:lang w:eastAsia="zh-CN"/>
        </w:rPr>
        <w:t>个，指标完成率为</w:t>
      </w:r>
      <w:r>
        <w:rPr>
          <w:rFonts w:hint="eastAsia"/>
          <w:color w:val="auto"/>
          <w:highlight w:val="none"/>
          <w:lang w:val="en-US" w:eastAsia="zh-CN"/>
        </w:rPr>
        <w:t>83.33</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25A591C">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一）经费支付及时率</w:t>
      </w:r>
      <w:r>
        <w:rPr>
          <w:rFonts w:hint="eastAsia"/>
          <w:color w:val="auto"/>
          <w:highlight w:val="none"/>
        </w:rPr>
        <w:t>指标完成情况分析</w:t>
      </w:r>
    </w:p>
    <w:p w14:paraId="6CC7947F">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经费支付及时率年初设定目标是＝100%，年中绩效运行监控时完成值100%，年终实际完成值是100%，指标完成率是100%，每月事业人员工资发放、社保医保住房公积金的扣缴，公用车辆维护维修费、燃油费按季度支付到相关实施单位，车辆正常保障，办公经费持续保障单位正常运转，提高干部工作效率。偏差原因：无偏差。</w:t>
      </w:r>
    </w:p>
    <w:p w14:paraId="250959AB">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（二）保障干部人数指标完成情况分析</w:t>
      </w:r>
    </w:p>
    <w:p w14:paraId="55353FC8">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保障干部人数指标年初设定目标是≥12人，年中绩效运行监控时完成值11人，年终实际完成值是13人，指标完成率是108%，按时为13名干部发放工资，为干部提供基础生活保障，确保单位各项工作有序开展。偏差原因：年初应工作调整调出一名干部，8月调入两名干部。</w:t>
      </w:r>
    </w:p>
    <w:p w14:paraId="10302B17">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（三）保障运行单位指标完成情况分析</w:t>
      </w:r>
    </w:p>
    <w:p w14:paraId="6585565F">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保障运行单位指标年初设定目标是≥4个，年中绩效运行监控时完成值4个，年终实际完成值是4个，指标完成率是100%，保障综合大楼内4个单位用水、用电需求，为各单位的日常运转提供帮助。偏差原因：无偏差。</w:t>
      </w:r>
    </w:p>
    <w:p w14:paraId="18E537CE">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（四）解决困难诉求矛盾纠纷数量指标完成情况分析</w:t>
      </w:r>
    </w:p>
    <w:p w14:paraId="4543DE56">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解决困难诉求矛盾纠纷数量指标年初设定目标是≥1000件，年中绩效运行监控时完成值1200件，年终实际完成值是5453件，指标完成率是545.3%，为全县群众解决困难诉求，提高群众的满意度幸福感。偏差原因：群众工作服务中心通过各种方式收集群众困难诉求，并且经常到村提供帮助，提高了基层干部解决困难诉求能力。</w:t>
      </w:r>
    </w:p>
    <w:p w14:paraId="5217626B">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（五）大楼及食堂正常运转率指标完成情况分析</w:t>
      </w:r>
    </w:p>
    <w:p w14:paraId="523696FB">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大楼及食堂正常运转率指标年初设定目标是</w:t>
      </w:r>
      <w:bookmarkStart w:id="6" w:name="_GoBack"/>
      <w:bookmarkEnd w:id="6"/>
      <w:r>
        <w:rPr>
          <w:rFonts w:hint="eastAsia"/>
          <w:color w:val="auto"/>
          <w:highlight w:val="none"/>
          <w:lang w:val="en-US" w:eastAsia="zh-CN"/>
        </w:rPr>
        <w:t>=90%，年中绩效运行监控时完成值100%，年终实际完成值是75%，指标完成率是75%，全年大楼的用水、用电，以及单位内部的日常运转持续保障，为干部提供的食堂持续到6月停止使用。偏差25%，偏差原因：2023年6月食堂停止使用。</w:t>
      </w:r>
    </w:p>
    <w:p w14:paraId="32C74266">
      <w:pPr>
        <w:pStyle w:val="5"/>
        <w:pageBreakBefore w:val="0"/>
        <w:widowControl w:val="0"/>
        <w:kinsoku/>
        <w:wordWrap/>
        <w:overflowPunct/>
        <w:topLinePunct w:val="0"/>
        <w:autoSpaceDE/>
        <w:autoSpaceDN/>
        <w:bidi w:val="0"/>
        <w:adjustRightInd w:val="0"/>
        <w:snapToGrid w:val="0"/>
        <w:spacing w:before="0" w:beforeLines="0" w:afterLines="0" w:line="520" w:lineRule="exact"/>
        <w:ind w:left="0" w:leftChars="0" w:firstLine="643" w:firstLineChars="200"/>
        <w:textAlignment w:val="auto"/>
        <w:rPr>
          <w:rFonts w:hint="eastAsia"/>
          <w:color w:val="auto"/>
          <w:highlight w:val="none"/>
          <w:lang w:val="en-US" w:eastAsia="zh-CN"/>
        </w:rPr>
      </w:pPr>
      <w:r>
        <w:rPr>
          <w:rFonts w:hint="eastAsia"/>
          <w:color w:val="auto"/>
          <w:highlight w:val="none"/>
          <w:lang w:val="en-US" w:eastAsia="zh-CN"/>
        </w:rPr>
        <w:t>（六）群众诉求解决率指标完成情况分析</w:t>
      </w:r>
    </w:p>
    <w:p w14:paraId="15F10C67">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群众诉求解决率指标年初设定目标是&gt;=95%，年中绩效运行监控时完成值95%，年终实际完成值是100%，指标完成率是100%，群众提出困难诉求在能力范围内尽快解决，解决不了的上报到县级领导协调解决，保障困难诉求解决率达100%。偏差原因：无偏差。</w:t>
      </w:r>
    </w:p>
    <w:p w14:paraId="2720AB96">
      <w:pPr>
        <w:pStyle w:val="4"/>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default"/>
          <w:color w:val="auto"/>
          <w:highlight w:val="none"/>
          <w:lang w:val="en-US"/>
        </w:rPr>
      </w:pPr>
      <w:r>
        <w:rPr>
          <w:rFonts w:hint="eastAsia"/>
          <w:color w:val="auto"/>
          <w:highlight w:val="none"/>
          <w:lang w:val="en-US" w:eastAsia="zh-CN"/>
        </w:rPr>
        <w:t>四、评价结论</w:t>
      </w:r>
    </w:p>
    <w:p w14:paraId="1F439E47">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97.5</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39B88BF4">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通过我单位全年整体工作，有效提高了干部工作效率，解决了群众的困难诉求矛盾纠纷，保障了综合大楼的正常运行，履行了本单位职责，</w:t>
      </w:r>
      <w:r>
        <w:rPr>
          <w:rFonts w:hint="default" w:ascii="Times New Roman" w:hAnsi="Times New Roman" w:cs="Times New Roman"/>
          <w:color w:val="auto"/>
          <w:highlight w:val="none"/>
          <w:lang w:val="en-US" w:eastAsia="zh-CN"/>
        </w:rPr>
        <w:t>坚持</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一体化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运作，让网格防控更精准。坚持</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数字化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赋能，让网格防控更高效。坚持</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制度化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保障，让网格防控更有力。</w:t>
      </w:r>
      <w:r>
        <w:rPr>
          <w:rFonts w:hint="eastAsia" w:ascii="Times New Roman" w:hAnsi="Times New Roman" w:cs="Times New Roman"/>
          <w:color w:val="auto"/>
          <w:highlight w:val="none"/>
          <w:lang w:val="en-US" w:eastAsia="zh-CN"/>
        </w:rPr>
        <w:t>持续做好困难帮扶，严格落实矛盾纠纷排查化解“五级联动”工作机制。</w:t>
      </w:r>
      <w:r>
        <w:rPr>
          <w:rFonts w:hint="default" w:ascii="Times New Roman" w:hAnsi="Times New Roman" w:cs="Times New Roman"/>
          <w:color w:val="auto"/>
          <w:highlight w:val="none"/>
          <w:lang w:val="en-US" w:eastAsia="zh-CN"/>
        </w:rPr>
        <w:t>充分依托网格化</w:t>
      </w:r>
      <w:r>
        <w:rPr>
          <w:rFonts w:hint="eastAsia" w:ascii="Times New Roman" w:hAnsi="Times New Roman" w:cs="Times New Roman"/>
          <w:color w:val="auto"/>
          <w:highlight w:val="none"/>
          <w:lang w:val="en-US" w:eastAsia="zh-CN"/>
        </w:rPr>
        <w:t>服务</w:t>
      </w:r>
      <w:r>
        <w:rPr>
          <w:rFonts w:hint="default" w:ascii="Times New Roman" w:hAnsi="Times New Roman" w:cs="Times New Roman"/>
          <w:color w:val="auto"/>
          <w:highlight w:val="none"/>
          <w:lang w:val="en-US" w:eastAsia="zh-CN"/>
        </w:rPr>
        <w:t>管理优势，调动乡镇、村（社区）、小组、网格、联户五级力量，全面推行</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党建+网格+大数据</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的管理模式</w:t>
      </w:r>
      <w:r>
        <w:rPr>
          <w:rFonts w:hint="eastAsia" w:ascii="Times New Roman" w:hAnsi="Times New Roman" w:cs="Times New Roman"/>
          <w:color w:val="auto"/>
          <w:highlight w:val="none"/>
          <w:lang w:val="en-US" w:eastAsia="zh-CN"/>
        </w:rPr>
        <w:t>，形成涉及群众利益的矛盾纠纷、困难诉求、问题隐患全量全程化解消纳的工作闭环。</w:t>
      </w:r>
    </w:p>
    <w:p w14:paraId="55EA665A">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01D12943">
      <w:pPr>
        <w:ind w:firstLine="560"/>
        <w:rPr>
          <w:rFonts w:hint="eastAsia"/>
          <w:color w:val="auto"/>
          <w:highlight w:val="none"/>
        </w:rPr>
      </w:pPr>
      <w:bookmarkStart w:id="5" w:name="_Toc29546_WPSOffice_Level1"/>
      <w:r>
        <w:rPr>
          <w:rFonts w:hint="eastAsia"/>
          <w:color w:val="auto"/>
          <w:highlight w:val="none"/>
          <w:lang w:val="en-US" w:eastAsia="zh-CN"/>
        </w:rPr>
        <w:t>1、整体绩效科目设置不合理，没有结合全年实际，全方面地概括到所有资金，没有将所有项目设置指标，导致整体绩效完成有偏差。</w:t>
      </w:r>
      <w:r>
        <w:rPr>
          <w:rFonts w:hint="eastAsia"/>
          <w:color w:val="auto"/>
          <w:highlight w:val="none"/>
        </w:rPr>
        <w:t>原因分析：主要是</w:t>
      </w:r>
      <w:r>
        <w:rPr>
          <w:rFonts w:hint="eastAsia"/>
          <w:color w:val="auto"/>
          <w:highlight w:val="none"/>
          <w:lang w:val="en-US" w:eastAsia="zh-CN"/>
        </w:rPr>
        <w:t>整体目标表是预算设置全年</w:t>
      </w:r>
      <w:r>
        <w:rPr>
          <w:rFonts w:hint="eastAsia"/>
          <w:color w:val="auto"/>
          <w:highlight w:val="none"/>
        </w:rPr>
        <w:t>资金</w:t>
      </w:r>
      <w:r>
        <w:rPr>
          <w:rFonts w:hint="eastAsia"/>
          <w:color w:val="auto"/>
          <w:highlight w:val="none"/>
          <w:lang w:eastAsia="zh-CN"/>
        </w:rPr>
        <w:t>，</w:t>
      </w:r>
      <w:r>
        <w:rPr>
          <w:rFonts w:hint="eastAsia"/>
          <w:color w:val="auto"/>
          <w:highlight w:val="none"/>
          <w:lang w:val="en-US" w:eastAsia="zh-CN"/>
        </w:rPr>
        <w:t>但在后期支付当中，可能会追加项目资金，导致项目资金未在目标表中体现</w:t>
      </w:r>
      <w:r>
        <w:rPr>
          <w:rFonts w:hint="eastAsia"/>
          <w:color w:val="auto"/>
          <w:highlight w:val="none"/>
        </w:rPr>
        <w:t>，导致项目最终产生偏差。</w:t>
      </w:r>
    </w:p>
    <w:p w14:paraId="1F0DC56C">
      <w:pPr>
        <w:ind w:firstLine="560"/>
        <w:rPr>
          <w:rFonts w:hint="default"/>
          <w:color w:val="auto"/>
          <w:highlight w:val="none"/>
          <w:lang w:val="en-US" w:eastAsia="zh-CN"/>
        </w:rPr>
      </w:pPr>
      <w:r>
        <w:rPr>
          <w:rFonts w:hint="eastAsia"/>
          <w:color w:val="auto"/>
          <w:highlight w:val="none"/>
          <w:lang w:val="en-US" w:eastAsia="zh-CN"/>
        </w:rPr>
        <w:t>2、在年初预算申请当中没有预料到项目内容的变化，变化后没有对资金支付项目的调整，导致预算资金有结余。</w:t>
      </w:r>
    </w:p>
    <w:p w14:paraId="4397257D">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eastAsia="zh-CN"/>
        </w:rPr>
      </w:pPr>
      <w:r>
        <w:rPr>
          <w:rFonts w:hint="eastAsia"/>
          <w:color w:val="auto"/>
          <w:highlight w:val="none"/>
          <w:lang w:val="en-US" w:eastAsia="zh-CN"/>
        </w:rPr>
        <w:t>六、</w:t>
      </w:r>
      <w:r>
        <w:rPr>
          <w:rFonts w:hint="eastAsia"/>
          <w:color w:val="auto"/>
          <w:highlight w:val="none"/>
        </w:rPr>
        <w:t>改进措施和建议</w:t>
      </w:r>
      <w:bookmarkEnd w:id="5"/>
    </w:p>
    <w:p w14:paraId="017393AB">
      <w:pPr>
        <w:ind w:firstLine="560"/>
        <w:rPr>
          <w:rFonts w:hint="eastAsia"/>
          <w:color w:val="auto"/>
          <w:highlight w:val="none"/>
          <w:lang w:val="en-US" w:eastAsia="zh-CN"/>
        </w:rPr>
      </w:pPr>
      <w:r>
        <w:rPr>
          <w:rFonts w:hint="eastAsia"/>
          <w:color w:val="auto"/>
          <w:highlight w:val="none"/>
          <w:lang w:val="en-US" w:eastAsia="zh-CN"/>
        </w:rPr>
        <w:t>1、提高对专项资金管理重要性的认识，加强业务人员培训，建立健全内部控制制度，主动跟踪专项资金指标下达情况，按照规定标准、范围列支费用，合理设置三级指标。</w:t>
      </w:r>
    </w:p>
    <w:p w14:paraId="798CD63B">
      <w:pPr>
        <w:ind w:firstLine="560"/>
        <w:rPr>
          <w:rFonts w:hint="eastAsia"/>
          <w:color w:val="auto"/>
          <w:highlight w:val="none"/>
          <w:lang w:val="en-US" w:eastAsia="zh-CN"/>
        </w:rPr>
      </w:pPr>
      <w:r>
        <w:rPr>
          <w:rFonts w:hint="eastAsia"/>
          <w:color w:val="auto"/>
          <w:highlight w:val="none"/>
          <w:lang w:val="en-US" w:eastAsia="zh-CN"/>
        </w:rPr>
        <w:t>2、加强支出过程监督管理工作，对资金支出做到有据可依，有据可凭。增强责任意识，在财政资金的使用过程中，相关人员做到及时发现风险隐患并予以纠正，确保资金支出实现预期目标，不造成资金浪费，进一步保障财政资金使用的规范化和效益化。加强预算支出管理，要严格预算刚性约束，及时拨付资金，杜绝大量专项资金闲置、拨付不及时等现象，提高预算执行率；同时严格国库集中支付，实现专项资金直达用款单位，减少中间环节滞留、挤占、挪用等问题的发生。</w:t>
      </w:r>
    </w:p>
    <w:p w14:paraId="31DCFA61">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eastAsia="zh-CN"/>
        </w:rPr>
      </w:pPr>
      <w:r>
        <w:rPr>
          <w:rFonts w:hint="eastAsia"/>
          <w:color w:val="auto"/>
          <w:highlight w:val="none"/>
          <w:lang w:val="en-US" w:eastAsia="zh-CN"/>
        </w:rPr>
        <w:t>七、附件上传</w:t>
      </w:r>
    </w:p>
    <w:p w14:paraId="08C59CDF">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color w:val="auto"/>
          <w:highlight w:val="none"/>
          <w:lang w:val="en-US" w:eastAsia="zh-CN"/>
        </w:rPr>
      </w:pPr>
    </w:p>
    <w:sectPr>
      <w:footerReference r:id="rId5" w:type="default"/>
      <w:pgSz w:w="11906" w:h="16838"/>
      <w:pgMar w:top="1871" w:right="1531" w:bottom="1984" w:left="1531"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3C89D">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FDC601B">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92181"/>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703979"/>
    <w:rsid w:val="01941124"/>
    <w:rsid w:val="01CC583F"/>
    <w:rsid w:val="02037A4A"/>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CB16402"/>
    <w:rsid w:val="0D9C30EB"/>
    <w:rsid w:val="0E7D784C"/>
    <w:rsid w:val="0F301E38"/>
    <w:rsid w:val="10300946"/>
    <w:rsid w:val="10FE60D7"/>
    <w:rsid w:val="134F7771"/>
    <w:rsid w:val="13E513B9"/>
    <w:rsid w:val="158C5316"/>
    <w:rsid w:val="15B904C0"/>
    <w:rsid w:val="165C118C"/>
    <w:rsid w:val="172D035F"/>
    <w:rsid w:val="17574CCB"/>
    <w:rsid w:val="175D58E3"/>
    <w:rsid w:val="18061B60"/>
    <w:rsid w:val="190C3DF8"/>
    <w:rsid w:val="19AA4D08"/>
    <w:rsid w:val="19F83E30"/>
    <w:rsid w:val="1B403139"/>
    <w:rsid w:val="1C6D319F"/>
    <w:rsid w:val="1D384A93"/>
    <w:rsid w:val="1D3D56DD"/>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1E0CAF"/>
    <w:rsid w:val="2B6F150A"/>
    <w:rsid w:val="2BB557CB"/>
    <w:rsid w:val="2BC51751"/>
    <w:rsid w:val="2BCB1A0D"/>
    <w:rsid w:val="2D166684"/>
    <w:rsid w:val="2EBF757D"/>
    <w:rsid w:val="313A1C72"/>
    <w:rsid w:val="31927D00"/>
    <w:rsid w:val="31AE39CE"/>
    <w:rsid w:val="31B83F5F"/>
    <w:rsid w:val="32305CDD"/>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5C7278"/>
    <w:rsid w:val="38CB5066"/>
    <w:rsid w:val="38E054C9"/>
    <w:rsid w:val="3A3B421E"/>
    <w:rsid w:val="3A565DE9"/>
    <w:rsid w:val="3AC36A27"/>
    <w:rsid w:val="3F301058"/>
    <w:rsid w:val="3F3E6DD2"/>
    <w:rsid w:val="417A34F9"/>
    <w:rsid w:val="418810F4"/>
    <w:rsid w:val="41A37673"/>
    <w:rsid w:val="42503F5E"/>
    <w:rsid w:val="42C30950"/>
    <w:rsid w:val="459B4F7E"/>
    <w:rsid w:val="45A65C7F"/>
    <w:rsid w:val="45F13359"/>
    <w:rsid w:val="468C2A4A"/>
    <w:rsid w:val="46AD2493"/>
    <w:rsid w:val="46EC7F14"/>
    <w:rsid w:val="47844DC4"/>
    <w:rsid w:val="47CA7D9C"/>
    <w:rsid w:val="47DB3D58"/>
    <w:rsid w:val="48194880"/>
    <w:rsid w:val="48AF4C7F"/>
    <w:rsid w:val="4A5B46DD"/>
    <w:rsid w:val="4A6F6A56"/>
    <w:rsid w:val="4A81677A"/>
    <w:rsid w:val="4B3B5348"/>
    <w:rsid w:val="4B436E63"/>
    <w:rsid w:val="4DA177B2"/>
    <w:rsid w:val="4DA370C6"/>
    <w:rsid w:val="4DF36D4F"/>
    <w:rsid w:val="4EC15329"/>
    <w:rsid w:val="501B7C76"/>
    <w:rsid w:val="504D5CCF"/>
    <w:rsid w:val="511A2CA6"/>
    <w:rsid w:val="52EF4329"/>
    <w:rsid w:val="533A7469"/>
    <w:rsid w:val="53526129"/>
    <w:rsid w:val="538B4CD8"/>
    <w:rsid w:val="53984885"/>
    <w:rsid w:val="53A21BCD"/>
    <w:rsid w:val="54394F3D"/>
    <w:rsid w:val="565F61A9"/>
    <w:rsid w:val="56AD4B11"/>
    <w:rsid w:val="570509EC"/>
    <w:rsid w:val="57232FC4"/>
    <w:rsid w:val="572D2326"/>
    <w:rsid w:val="57365691"/>
    <w:rsid w:val="59EE1E48"/>
    <w:rsid w:val="5A490F5C"/>
    <w:rsid w:val="5B805E16"/>
    <w:rsid w:val="5BD21464"/>
    <w:rsid w:val="5BDE2B83"/>
    <w:rsid w:val="5C6120C5"/>
    <w:rsid w:val="5C777282"/>
    <w:rsid w:val="5CA11AC7"/>
    <w:rsid w:val="5EBA74A7"/>
    <w:rsid w:val="61635F72"/>
    <w:rsid w:val="618606C5"/>
    <w:rsid w:val="61946FF9"/>
    <w:rsid w:val="6224402D"/>
    <w:rsid w:val="6384067A"/>
    <w:rsid w:val="638D125E"/>
    <w:rsid w:val="6396333E"/>
    <w:rsid w:val="63E114D3"/>
    <w:rsid w:val="68D3548C"/>
    <w:rsid w:val="6AD46D46"/>
    <w:rsid w:val="6B07083C"/>
    <w:rsid w:val="6B623CC4"/>
    <w:rsid w:val="6B6B2EA7"/>
    <w:rsid w:val="6B6C65E0"/>
    <w:rsid w:val="6C2B67AC"/>
    <w:rsid w:val="6DE07909"/>
    <w:rsid w:val="6E58438A"/>
    <w:rsid w:val="6E7066F8"/>
    <w:rsid w:val="6E9D5508"/>
    <w:rsid w:val="6F871359"/>
    <w:rsid w:val="701936AE"/>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30793B"/>
    <w:rsid w:val="7BC003CA"/>
    <w:rsid w:val="7CBF4BB4"/>
    <w:rsid w:val="7CE42734"/>
    <w:rsid w:val="7D9E1230"/>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800" w:firstLineChars="200"/>
    </w:pPr>
    <w:rPr>
      <w:rFonts w:ascii="Calibri" w:hAnsi="Calibri" w:eastAsia="方正仿宋_GBK" w:cs="Times New Roman"/>
      <w:sz w:val="31"/>
    </w:rPr>
  </w:style>
  <w:style w:type="paragraph" w:styleId="3">
    <w:name w:val="Body Text"/>
    <w:basedOn w:val="1"/>
    <w:next w:val="2"/>
    <w:qFormat/>
    <w:uiPriority w:val="0"/>
    <w:pPr>
      <w:spacing w:before="240" w:after="240" w:line="360" w:lineRule="auto"/>
      <w:jc w:val="center"/>
    </w:pPr>
    <w:rPr>
      <w:b/>
      <w:sz w:val="44"/>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9">
    <w:name w:val="annotation text"/>
    <w:basedOn w:val="1"/>
    <w:unhideWhenUsed/>
    <w:qFormat/>
    <w:uiPriority w:val="99"/>
    <w:pPr>
      <w:jc w:val="left"/>
    </w:p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3954</Words>
  <Characters>4241</Characters>
  <Lines>7</Lines>
  <Paragraphs>2</Paragraphs>
  <TotalTime>5</TotalTime>
  <ScaleCrop>false</ScaleCrop>
  <LinksUpToDate>false</LinksUpToDate>
  <CharactersWithSpaces>4243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2024-11-21T02:20:25Z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