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06537">
      <w:pPr>
        <w:spacing w:beforeLines="100" w:line="480" w:lineRule="auto"/>
        <w:ind w:firstLine="0" w:firstLineChars="0"/>
        <w:jc w:val="center"/>
        <w:rPr>
          <w:rFonts w:ascii="黑体" w:hAnsi="黑体" w:eastAsia="黑体" w:cs="黑体"/>
          <w:color w:val="auto"/>
          <w:sz w:val="44"/>
          <w:szCs w:val="44"/>
        </w:rPr>
      </w:pPr>
      <w:bookmarkStart w:id="0" w:name="_Toc23945_WPSOffice_Level1"/>
      <w:r>
        <w:rPr>
          <w:rFonts w:hint="eastAsia" w:ascii="黑体" w:hAnsi="黑体" w:eastAsia="黑体" w:cs="黑体"/>
          <w:color w:val="auto"/>
          <w:sz w:val="44"/>
          <w:szCs w:val="44"/>
        </w:rPr>
        <w:t>部门单位整体支出绩效自评报告</w:t>
      </w:r>
    </w:p>
    <w:p w14:paraId="37F6DE44">
      <w:pPr>
        <w:pStyle w:val="3"/>
        <w:rPr>
          <w:color w:val="auto"/>
        </w:rPr>
      </w:pPr>
      <w:r>
        <w:rPr>
          <w:rFonts w:hint="eastAsia"/>
          <w:color w:val="auto"/>
        </w:rPr>
        <w:t>一、基本概况</w:t>
      </w:r>
      <w:bookmarkEnd w:id="0"/>
    </w:p>
    <w:p w14:paraId="3B838F36">
      <w:pPr>
        <w:pStyle w:val="4"/>
        <w:spacing w:before="156"/>
        <w:rPr>
          <w:color w:val="auto"/>
        </w:rPr>
      </w:pPr>
      <w:r>
        <w:rPr>
          <w:rFonts w:hint="eastAsia"/>
          <w:color w:val="auto"/>
        </w:rPr>
        <w:t>（一）部门单位基本情况</w:t>
      </w:r>
    </w:p>
    <w:p w14:paraId="4F4821D6">
      <w:pPr>
        <w:pStyle w:val="2"/>
        <w:ind w:firstLine="602"/>
        <w:rPr>
          <w:color w:val="auto"/>
        </w:rPr>
      </w:pPr>
      <w:r>
        <w:rPr>
          <w:rFonts w:hint="eastAsia"/>
          <w:color w:val="auto"/>
        </w:rPr>
        <w:t>1.部门主要职能</w:t>
      </w:r>
    </w:p>
    <w:p w14:paraId="1C57731F">
      <w:pPr>
        <w:ind w:firstLine="560"/>
        <w:rPr>
          <w:color w:val="auto"/>
        </w:rPr>
      </w:pPr>
      <w:r>
        <w:rPr>
          <w:color w:val="auto"/>
        </w:rPr>
        <w:t>和静县本级巩乃斯镇人民政府（单位名称）为参照公务员管理的正科级单位，主要职责是：</w:t>
      </w:r>
    </w:p>
    <w:p w14:paraId="28B86519">
      <w:pPr>
        <w:ind w:firstLine="560"/>
        <w:rPr>
          <w:color w:val="auto"/>
        </w:rPr>
      </w:pPr>
      <w:r>
        <w:rPr>
          <w:color w:val="auto"/>
        </w:rPr>
        <w:t>（1）执行本级人民代表大会的决议和上级国家行政机关的决定和命令，发布决定和命令。</w:t>
      </w:r>
    </w:p>
    <w:p w14:paraId="1568C5D5">
      <w:pPr>
        <w:ind w:firstLine="560"/>
        <w:rPr>
          <w:color w:val="auto"/>
        </w:rPr>
      </w:pPr>
      <w:r>
        <w:rPr>
          <w:color w:val="auto"/>
        </w:rPr>
        <w:t>（2）执行本行政区域内的经济和社会发展计划、预算，管理本行政区域内的经济、教育、科学、文化、卫生、体育事业、财政、民政、司法行政、计划生育等行政工作。</w:t>
      </w:r>
    </w:p>
    <w:p w14:paraId="3E769A79">
      <w:pPr>
        <w:ind w:firstLine="560"/>
        <w:rPr>
          <w:color w:val="auto"/>
        </w:rPr>
      </w:pPr>
      <w:r>
        <w:rPr>
          <w:color w:val="auto"/>
        </w:rPr>
        <w:t>（3）保护社会主义的全民所有的财产和劳动群众集体所有的财产，保护公民私人所有的合法财产，维护社会秩序，保障公民的人身权利、民主权利和其他权利。</w:t>
      </w:r>
    </w:p>
    <w:p w14:paraId="2090F27D">
      <w:pPr>
        <w:ind w:firstLine="560"/>
        <w:rPr>
          <w:color w:val="auto"/>
        </w:rPr>
      </w:pPr>
      <w:r>
        <w:rPr>
          <w:color w:val="auto"/>
        </w:rPr>
        <w:t>（4）保护各种经济组织的合法权益。</w:t>
      </w:r>
    </w:p>
    <w:p w14:paraId="3979D318">
      <w:pPr>
        <w:ind w:firstLine="560"/>
        <w:rPr>
          <w:color w:val="auto"/>
        </w:rPr>
      </w:pPr>
      <w:r>
        <w:rPr>
          <w:color w:val="auto"/>
        </w:rPr>
        <w:t>（5）保障少数民族的权利和尊重少数民族的风俗习惯。</w:t>
      </w:r>
    </w:p>
    <w:p w14:paraId="0A5C0429">
      <w:pPr>
        <w:ind w:firstLine="560"/>
        <w:rPr>
          <w:color w:val="auto"/>
        </w:rPr>
      </w:pPr>
      <w:r>
        <w:rPr>
          <w:color w:val="auto"/>
        </w:rPr>
        <w:t>（6）保障宪法和法律赋予妇女的男女平等、同工同酬和婚姻自由等各项权利。</w:t>
      </w:r>
    </w:p>
    <w:p w14:paraId="200D0A8E">
      <w:pPr>
        <w:ind w:firstLine="560"/>
        <w:rPr>
          <w:color w:val="auto"/>
        </w:rPr>
      </w:pPr>
      <w:r>
        <w:rPr>
          <w:color w:val="auto"/>
        </w:rPr>
        <w:t>（7）办理上级人民政府交办的其他事项。</w:t>
      </w:r>
    </w:p>
    <w:p w14:paraId="6CD11352">
      <w:pPr>
        <w:ind w:firstLine="560"/>
        <w:rPr>
          <w:color w:val="auto"/>
        </w:rPr>
      </w:pPr>
      <w:r>
        <w:rPr>
          <w:color w:val="auto"/>
        </w:rPr>
        <w:t>（1）执行本级人民代表大会的决议和上级国家行政机关的决定和命令，发布决定和命令。</w:t>
      </w:r>
    </w:p>
    <w:p w14:paraId="28390C35">
      <w:pPr>
        <w:ind w:firstLine="560"/>
        <w:rPr>
          <w:color w:val="auto"/>
        </w:rPr>
      </w:pPr>
      <w:r>
        <w:rPr>
          <w:color w:val="auto"/>
        </w:rPr>
        <w:t>（2）执行本行政区域内的经济和社会发展计划、预算，管理本行政区域内的经济、教育、科学、文化、卫生、体育事业、财政、民政、司法行政、计划生育等行政工作。</w:t>
      </w:r>
    </w:p>
    <w:p w14:paraId="1380B020">
      <w:pPr>
        <w:ind w:firstLine="560"/>
        <w:rPr>
          <w:color w:val="auto"/>
        </w:rPr>
      </w:pPr>
      <w:r>
        <w:rPr>
          <w:color w:val="auto"/>
        </w:rPr>
        <w:t>（3）保护社会主义的全民所有的财产和劳动群众集体所有的财产，保护公民私人所有的合法财产，维护社会秩序，保障公民的人身权利、民主权利和其他权利。</w:t>
      </w:r>
    </w:p>
    <w:p w14:paraId="4BF34436">
      <w:pPr>
        <w:ind w:firstLine="560"/>
        <w:rPr>
          <w:color w:val="auto"/>
        </w:rPr>
      </w:pPr>
      <w:r>
        <w:rPr>
          <w:color w:val="auto"/>
        </w:rPr>
        <w:t>（4）保护各种经济组织的合法权益。</w:t>
      </w:r>
    </w:p>
    <w:p w14:paraId="52084BCC">
      <w:pPr>
        <w:ind w:firstLine="560"/>
        <w:rPr>
          <w:color w:val="auto"/>
        </w:rPr>
      </w:pPr>
      <w:r>
        <w:rPr>
          <w:color w:val="auto"/>
        </w:rPr>
        <w:t>（5）保障少数民族的权利和尊重少数民族的风俗习惯。</w:t>
      </w:r>
    </w:p>
    <w:p w14:paraId="2B9419EC">
      <w:pPr>
        <w:ind w:firstLine="560"/>
        <w:rPr>
          <w:color w:val="auto"/>
        </w:rPr>
      </w:pPr>
      <w:r>
        <w:rPr>
          <w:color w:val="auto"/>
        </w:rPr>
        <w:t>（6）保障宪法和法律赋予妇女的男女平等、同工同酬和婚姻自由等各项权利。</w:t>
      </w:r>
    </w:p>
    <w:p w14:paraId="6113DCD5">
      <w:pPr>
        <w:ind w:firstLine="560"/>
        <w:rPr>
          <w:color w:val="auto"/>
        </w:rPr>
      </w:pPr>
      <w:r>
        <w:rPr>
          <w:color w:val="auto"/>
        </w:rPr>
        <w:t>（7）办理上级人民政府交办的其他事项。</w:t>
      </w:r>
    </w:p>
    <w:p w14:paraId="24454952">
      <w:pPr>
        <w:pStyle w:val="2"/>
        <w:ind w:firstLine="602"/>
        <w:rPr>
          <w:color w:val="auto"/>
        </w:rPr>
      </w:pPr>
      <w:r>
        <w:rPr>
          <w:rFonts w:hint="eastAsia"/>
          <w:color w:val="auto"/>
        </w:rPr>
        <w:t>2.部门机构设置及人员构成</w:t>
      </w:r>
    </w:p>
    <w:p w14:paraId="161BDD1B">
      <w:pPr>
        <w:ind w:firstLine="560"/>
        <w:rPr>
          <w:color w:val="auto"/>
        </w:rPr>
      </w:pPr>
      <w:r>
        <w:rPr>
          <w:rFonts w:hint="eastAsia"/>
          <w:color w:val="auto"/>
        </w:rPr>
        <w:t>根据上述职责，和静县巩乃斯镇人民政府（单位名称）设有5个内设机构：党政办公室、党建办公室、经济发展办公室、社会事务办公室、综合执法办公室。</w:t>
      </w:r>
    </w:p>
    <w:p w14:paraId="7E8744F2">
      <w:pPr>
        <w:ind w:firstLine="560"/>
        <w:rPr>
          <w:color w:val="auto"/>
        </w:rPr>
      </w:pPr>
      <w:r>
        <w:rPr>
          <w:rFonts w:hint="eastAsia"/>
          <w:color w:val="auto"/>
        </w:rPr>
        <w:t>和静县巩乃斯镇人民政府（单位名称）人员编制数共43人，其中：行政编制19人，事业编制21人，工勤3人。年初预算实有在职人员32人，退休人员6人。年末实有在职人数37人，临时工0人，退休人员6人。</w:t>
      </w:r>
    </w:p>
    <w:p w14:paraId="4D3A547C">
      <w:pPr>
        <w:pStyle w:val="4"/>
        <w:spacing w:before="156"/>
        <w:rPr>
          <w:color w:val="auto"/>
        </w:rPr>
      </w:pPr>
      <w:r>
        <w:rPr>
          <w:rFonts w:hint="eastAsia"/>
          <w:color w:val="auto"/>
        </w:rPr>
        <w:t>（二）部门单位年度重点工作</w:t>
      </w:r>
    </w:p>
    <w:p w14:paraId="508EDE65">
      <w:pPr>
        <w:adjustRightInd/>
        <w:snapToGrid/>
        <w:spacing w:line="560" w:lineRule="exact"/>
        <w:ind w:firstLine="560"/>
        <w:rPr>
          <w:rFonts w:hint="eastAsia" w:ascii="仿宋" w:hAnsi="仿宋" w:cs="仿宋"/>
          <w:color w:val="auto"/>
          <w:szCs w:val="28"/>
        </w:rPr>
      </w:pPr>
      <w:r>
        <w:rPr>
          <w:rFonts w:hint="eastAsia" w:ascii="仿宋" w:hAnsi="仿宋" w:cs="仿宋"/>
          <w:color w:val="auto"/>
          <w:szCs w:val="28"/>
          <w:lang w:val="en-US" w:eastAsia="zh-CN"/>
        </w:rPr>
        <w:t>1</w:t>
      </w:r>
      <w:r>
        <w:rPr>
          <w:rFonts w:hint="eastAsia" w:ascii="仿宋" w:hAnsi="仿宋" w:cs="仿宋"/>
          <w:color w:val="auto"/>
          <w:szCs w:val="28"/>
        </w:rPr>
        <w:t>、扎实开展学习</w:t>
      </w:r>
    </w:p>
    <w:p w14:paraId="3EE5F9B7">
      <w:pPr>
        <w:adjustRightInd/>
        <w:snapToGrid/>
        <w:spacing w:line="560" w:lineRule="exact"/>
        <w:ind w:firstLine="560"/>
        <w:rPr>
          <w:rFonts w:ascii="仿宋" w:hAnsi="仿宋" w:cs="仿宋"/>
          <w:color w:val="auto"/>
          <w:szCs w:val="28"/>
        </w:rPr>
      </w:pPr>
      <w:r>
        <w:rPr>
          <w:rFonts w:hint="eastAsia" w:ascii="仿宋" w:hAnsi="仿宋" w:cs="仿宋"/>
          <w:color w:val="auto"/>
          <w:szCs w:val="28"/>
        </w:rPr>
        <w:t>坚持不懈用习近平新时代中国特色社会主义思想凝心铸魂，切实加强党的思想建设，推动党员干部更加深刻领悟“两个确立”的决定性意义，更加自觉增强“四个意识”、坚定“四个自信”、做到“两个维护”，严格按照方案开展学习教育活动，对做的不到位的单位和个人加强督查，确保全镇活动开展扎实、有效；做好查摆问题、开展批评等工作，达到帮助同志、增进团结、促进工作的目的；将边查边改的要求贯穿活动始终，着力解决镇村干部中存在的大局观念不强、责任意识淡化、作风纪律涣散等突出问题，引导党员干部心往一处想、劲往一处使，打造一支廉洁勤政、务实高效的镇村干部队伍。</w:t>
      </w:r>
    </w:p>
    <w:p w14:paraId="45782DED">
      <w:pPr>
        <w:adjustRightInd/>
        <w:snapToGrid/>
        <w:spacing w:line="560" w:lineRule="exact"/>
        <w:ind w:firstLine="560"/>
        <w:rPr>
          <w:rFonts w:hint="eastAsia" w:ascii="仿宋" w:hAnsi="仿宋" w:cs="仿宋"/>
          <w:color w:val="auto"/>
          <w:szCs w:val="28"/>
        </w:rPr>
      </w:pPr>
      <w:r>
        <w:rPr>
          <w:rFonts w:hint="eastAsia" w:ascii="仿宋" w:hAnsi="仿宋" w:cs="仿宋"/>
          <w:color w:val="auto"/>
          <w:szCs w:val="28"/>
          <w:lang w:val="en-US" w:eastAsia="zh-CN"/>
        </w:rPr>
        <w:t>2</w:t>
      </w:r>
      <w:r>
        <w:rPr>
          <w:rFonts w:hint="eastAsia" w:ascii="仿宋" w:hAnsi="仿宋" w:cs="仿宋"/>
          <w:color w:val="auto"/>
          <w:szCs w:val="28"/>
        </w:rPr>
        <w:t>、强化底线思维，筑牢长治久安根基</w:t>
      </w:r>
    </w:p>
    <w:p w14:paraId="1A206FE1">
      <w:pPr>
        <w:adjustRightInd/>
        <w:snapToGrid/>
        <w:spacing w:line="560" w:lineRule="exact"/>
        <w:ind w:firstLine="560"/>
        <w:rPr>
          <w:rFonts w:ascii="仿宋" w:hAnsi="仿宋" w:cs="仿宋"/>
          <w:color w:val="auto"/>
          <w:szCs w:val="28"/>
        </w:rPr>
      </w:pPr>
      <w:r>
        <w:rPr>
          <w:rFonts w:hint="eastAsia" w:ascii="仿宋" w:hAnsi="仿宋" w:cs="仿宋"/>
          <w:color w:val="auto"/>
          <w:szCs w:val="28"/>
        </w:rPr>
        <w:t>牢固树立统筹发展和安全的工作导向，从严落实维稳措施，着力解决影响社会稳定的矛盾纠纷问题，确保社会大局持续长期稳定。持续加强法治政府建设，深入贯彻习近平法治思想，严格落实“八五”普法规划，依托“法治宣传月”、宪法宣传、国家安全宣传等活动载体，大力弘扬法治精神，加大法治宣传教育，不断提高各级干部依法履职、依法办事能力。持续深化严打斗争，保持严打高压威慑状态不动摇，构建我镇网格化服务指挥体系，形成“网格化布控、精细化防控、信息化支撑”的维稳工作全覆盖机制。制定偏远散区域清山巡逻方案，常态化开展清山活动，实时掌握偏远散区域动态；稳步推行流动人口服务管理和“两头抓、双向管”工作机制，针对人员流动性大的企业、工地等区域实行定期走访、动态管理。</w:t>
      </w:r>
    </w:p>
    <w:p w14:paraId="1322E807">
      <w:pPr>
        <w:adjustRightInd/>
        <w:snapToGrid/>
        <w:spacing w:line="560" w:lineRule="exact"/>
        <w:ind w:firstLine="560"/>
        <w:rPr>
          <w:rFonts w:hint="eastAsia" w:ascii="仿宋" w:hAnsi="仿宋" w:cs="仿宋"/>
          <w:color w:val="auto"/>
          <w:szCs w:val="28"/>
        </w:rPr>
      </w:pPr>
      <w:r>
        <w:rPr>
          <w:rFonts w:hint="eastAsia" w:ascii="仿宋" w:hAnsi="仿宋" w:cs="仿宋"/>
          <w:color w:val="auto"/>
          <w:szCs w:val="28"/>
          <w:lang w:val="en-US" w:eastAsia="zh-CN"/>
        </w:rPr>
        <w:t>3</w:t>
      </w:r>
      <w:r>
        <w:rPr>
          <w:rFonts w:hint="eastAsia" w:ascii="仿宋" w:hAnsi="仿宋" w:cs="仿宋"/>
          <w:color w:val="auto"/>
          <w:szCs w:val="28"/>
        </w:rPr>
        <w:t>、多措并举，铸牢中华民族共同体意识</w:t>
      </w:r>
    </w:p>
    <w:p w14:paraId="739FFCD5">
      <w:pPr>
        <w:adjustRightInd/>
        <w:snapToGrid/>
        <w:spacing w:line="560" w:lineRule="exact"/>
        <w:ind w:firstLine="560"/>
        <w:rPr>
          <w:rFonts w:ascii="仿宋" w:hAnsi="仿宋" w:cs="仿宋"/>
          <w:color w:val="auto"/>
          <w:szCs w:val="28"/>
        </w:rPr>
      </w:pPr>
      <w:r>
        <w:rPr>
          <w:rFonts w:hint="eastAsia" w:ascii="仿宋" w:hAnsi="仿宋" w:cs="仿宋"/>
          <w:color w:val="auto"/>
          <w:szCs w:val="28"/>
        </w:rPr>
        <w:t>坚持不懈地用习近平新时代中国特色社会主义思想武装干部、教育群众，引导各族群众以铸牢中华民族共同体意识为己任，切实履行宪法赋予的维护民族团结的义务，全面贯彻党的民族政策，积极推进“民族团结一家亲”活动，教育引导各族群众牢固树立“三个离不开”思想，增强“五个认同”。深入实施文化润疆工程，落实文化润疆“九大任务”“八大工程”，广泛开展社会主义核心价值观宣传教育，严格落实意识形态领域工作责任制，聚焦教师讲台、网络空间、文化阵地，常态化开展巡察督查。积极探索民俗文化与旅游相结合的发展道路，充分发挥巩乃斯非物质文化遗产传承人聚集地优势，大力发展民俗节庆旅游，推动旅游文化双发展。</w:t>
      </w:r>
    </w:p>
    <w:p w14:paraId="23084608">
      <w:pPr>
        <w:adjustRightInd/>
        <w:spacing w:line="560" w:lineRule="exact"/>
        <w:ind w:firstLine="560"/>
        <w:rPr>
          <w:rFonts w:hint="eastAsia" w:ascii="仿宋" w:hAnsi="仿宋" w:cs="仿宋"/>
          <w:color w:val="auto"/>
          <w:szCs w:val="28"/>
        </w:rPr>
      </w:pPr>
      <w:r>
        <w:rPr>
          <w:rFonts w:hint="eastAsia" w:ascii="仿宋" w:hAnsi="仿宋" w:cs="仿宋"/>
          <w:color w:val="auto"/>
          <w:szCs w:val="28"/>
          <w:lang w:val="en-US" w:eastAsia="zh-CN"/>
        </w:rPr>
        <w:t>4</w:t>
      </w:r>
      <w:r>
        <w:rPr>
          <w:rFonts w:hint="eastAsia" w:ascii="仿宋" w:hAnsi="仿宋" w:cs="仿宋"/>
          <w:color w:val="auto"/>
          <w:szCs w:val="28"/>
        </w:rPr>
        <w:t>、加快转型发展，推进产业提档升级</w:t>
      </w:r>
    </w:p>
    <w:p w14:paraId="21830A89">
      <w:pPr>
        <w:adjustRightInd/>
        <w:spacing w:line="560" w:lineRule="exact"/>
        <w:ind w:firstLine="560"/>
        <w:rPr>
          <w:rFonts w:ascii="方正仿宋_GBK" w:hAnsi="Calibri" w:eastAsia="方正仿宋_GBK" w:cs="Times New Roman"/>
          <w:color w:val="auto"/>
          <w:sz w:val="32"/>
          <w:szCs w:val="32"/>
        </w:rPr>
      </w:pPr>
      <w:r>
        <w:rPr>
          <w:rFonts w:hint="eastAsia" w:ascii="仿宋" w:hAnsi="仿宋" w:cs="仿宋"/>
          <w:color w:val="auto"/>
          <w:szCs w:val="28"/>
        </w:rPr>
        <w:t>主动适应经济发展新常态，推动畜牧业、旅游业发展质量和效益并增，保持经济稳步发展势头。</w:t>
      </w:r>
    </w:p>
    <w:p w14:paraId="174C93B0">
      <w:pPr>
        <w:adjustRightInd/>
        <w:spacing w:line="560" w:lineRule="exact"/>
        <w:rPr>
          <w:rFonts w:ascii="仿宋" w:hAnsi="仿宋" w:cs="仿宋"/>
          <w:color w:val="auto"/>
          <w:szCs w:val="28"/>
        </w:rPr>
      </w:pPr>
      <w:r>
        <w:rPr>
          <w:rFonts w:hint="eastAsia" w:ascii="仿宋" w:hAnsi="仿宋" w:cs="仿宋"/>
          <w:color w:val="auto"/>
          <w:szCs w:val="28"/>
          <w:lang w:val="en-US" w:eastAsia="zh-CN"/>
        </w:rPr>
        <w:t>（1）引导畜牧业健康发展。完整准确全面贯彻新发展理念，</w:t>
      </w:r>
      <w:r>
        <w:rPr>
          <w:rFonts w:hint="eastAsia" w:ascii="仿宋" w:hAnsi="仿宋" w:cs="仿宋"/>
          <w:color w:val="auto"/>
          <w:szCs w:val="28"/>
        </w:rPr>
        <w:t>加快推动牧业提质增效，服务业优化提升。大力发展电子商务新业态，鼓励牧民通过网店拓宽销售渠道，发展直播经济。严格铁畜管理办法，切实发挥扶贫效应，逐年递增，不断壮大集体经济。加大暖圈、饲草料库及药浴池等畜牧基础设施建设，做好备草备料工作，持续推广牲畜保险，提高牲畜风雪灾害抵御能力。加大品种改良力度，积极争取扶贫品种改良项目资金到位，引导牧民调整畜群结构，促进畜牧业加快向现代化进程迈进。落实动物重大疫病免疫、监测、无害化处理等综合防控措施，提升疫病防控能力和监管水平。发挥好屠宰点、奶疙瘩等卫星工厂的作用，不断拓展畜牧产业链，增加畜产品附加值。积极发展农区畜牧业，转变传统养殖方式，增加收入，同时维持</w:t>
      </w:r>
      <w:r>
        <w:rPr>
          <w:rFonts w:hint="eastAsia" w:ascii="仿宋" w:hAnsi="仿宋" w:cs="仿宋"/>
          <w:color w:val="auto"/>
          <w:szCs w:val="28"/>
          <w:lang w:eastAsia="zh-CN"/>
        </w:rPr>
        <w:t>草畜平衡</w:t>
      </w:r>
      <w:r>
        <w:rPr>
          <w:rFonts w:hint="eastAsia" w:ascii="仿宋" w:hAnsi="仿宋" w:cs="仿宋"/>
          <w:color w:val="auto"/>
          <w:szCs w:val="28"/>
        </w:rPr>
        <w:t>，保护生态环境。</w:t>
      </w:r>
    </w:p>
    <w:p w14:paraId="1F6C1ED2">
      <w:pPr>
        <w:adjustRightInd/>
        <w:spacing w:line="560" w:lineRule="exact"/>
        <w:rPr>
          <w:rFonts w:ascii="仿宋" w:hAnsi="仿宋" w:cs="仿宋"/>
          <w:color w:val="auto"/>
          <w:szCs w:val="28"/>
        </w:rPr>
      </w:pPr>
      <w:r>
        <w:rPr>
          <w:rFonts w:hint="eastAsia" w:ascii="仿宋" w:hAnsi="仿宋" w:cs="仿宋"/>
          <w:color w:val="auto"/>
          <w:szCs w:val="28"/>
          <w:lang w:val="en-US" w:eastAsia="zh-CN"/>
        </w:rPr>
        <w:t>（2）促进旅游业提质增效。大力实施“旅游兴镇”发展战</w:t>
      </w:r>
      <w:r>
        <w:rPr>
          <w:rFonts w:hint="eastAsia" w:ascii="仿宋" w:hAnsi="仿宋" w:cs="仿宋"/>
          <w:color w:val="auto"/>
          <w:szCs w:val="28"/>
        </w:rPr>
        <w:t>略，健全旅游服务设施，丰富旅游业态，提升旅游品质，加快构建全域旅游大格局。围绕“吃住行游购娱”各环节，持续完善旅游厕所、停车场、住宿等基础设施，深入打造“东归第一村”游客集散基地。丰富拓展旅游新业态，推动“过境游”向“体验游”转变，促进牧民租马服务规范化，积极推广蒙餐特色饮食，大力开发特色旅游商品和文创产品，加快发展旅游民宿，探索发展“牧羊人”生活体验新业态，积极发展夜间经济、地摊经济、路边经济等，组织策划那达慕文化旅游节、山花节等系列文旅活动，做好媒体推介、节庆助力、游客传播三篇文章，不断提升旅游品牌知名度和影响力。积极培育特色手工艺品制作、旅游纪念品、民俗体验等服务项目，延伸旅游产业链。进一步规范牧家乐运营，提升牧家乐服务水平，提档升级。全力配合做好县文旅局对我镇旅游设施提升项目建设，争取早日建成发挥效益。</w:t>
      </w:r>
    </w:p>
    <w:p w14:paraId="033368D5">
      <w:pPr>
        <w:adjustRightInd/>
        <w:spacing w:line="560" w:lineRule="exact"/>
        <w:rPr>
          <w:rFonts w:ascii="方正仿宋_GBK" w:hAnsi="Calibri" w:eastAsia="方正仿宋_GBK" w:cs="Times New Roman"/>
          <w:color w:val="auto"/>
          <w:sz w:val="32"/>
          <w:szCs w:val="32"/>
        </w:rPr>
      </w:pPr>
      <w:r>
        <w:rPr>
          <w:rFonts w:hint="eastAsia" w:ascii="仿宋" w:hAnsi="仿宋" w:cs="仿宋"/>
          <w:color w:val="auto"/>
          <w:szCs w:val="28"/>
          <w:lang w:val="en-US" w:eastAsia="zh-CN"/>
        </w:rPr>
        <w:t>（3）力争城镇化迈上新台阶。集中实施特色小城镇项目建设，打造城镇名片，进一步完善小城镇规划修编。深入开展环境卫生、</w:t>
      </w:r>
      <w:r>
        <w:rPr>
          <w:rFonts w:hint="eastAsia" w:ascii="仿宋" w:hAnsi="仿宋" w:cs="仿宋"/>
          <w:color w:val="auto"/>
          <w:szCs w:val="28"/>
        </w:rPr>
        <w:t>道路整治、私搭乱建等专项治理行动，重点推进218国道沿线和镇（村）相关区域脏乱差的问题，着力打造整洁有序、环境优美的镇区面貌。</w:t>
      </w:r>
    </w:p>
    <w:p w14:paraId="1AF243CF">
      <w:pPr>
        <w:adjustRightInd/>
        <w:snapToGrid/>
        <w:spacing w:line="560" w:lineRule="exact"/>
        <w:rPr>
          <w:rFonts w:ascii="仿宋" w:hAnsi="仿宋" w:cs="仿宋"/>
          <w:color w:val="auto"/>
          <w:szCs w:val="28"/>
        </w:rPr>
      </w:pPr>
      <w:r>
        <w:rPr>
          <w:rFonts w:hint="eastAsia" w:ascii="仿宋" w:hAnsi="仿宋" w:cs="仿宋"/>
          <w:color w:val="auto"/>
          <w:szCs w:val="28"/>
          <w:lang w:val="en-US" w:eastAsia="zh-CN"/>
        </w:rPr>
        <w:t>（4）持续推进乡村振兴建设。以推进乡村“五大振兴”统</w:t>
      </w:r>
      <w:r>
        <w:rPr>
          <w:rFonts w:hint="eastAsia" w:ascii="仿宋" w:hAnsi="仿宋" w:cs="仿宋"/>
          <w:color w:val="auto"/>
          <w:szCs w:val="28"/>
        </w:rPr>
        <w:t>揽新发展阶段“三农”工作，持续巩固拓展脱贫攻坚成果，严格落实防止返贫动态监测帮扶机制，坚决防止</w:t>
      </w:r>
      <w:r>
        <w:rPr>
          <w:rFonts w:hint="eastAsia" w:ascii="仿宋" w:hAnsi="仿宋" w:cs="仿宋"/>
          <w:color w:val="auto"/>
          <w:szCs w:val="28"/>
          <w:lang w:eastAsia="zh-CN"/>
        </w:rPr>
        <w:t>发生规模性返贫和新的致贫。</w:t>
      </w:r>
      <w:r>
        <w:rPr>
          <w:rFonts w:hint="eastAsia" w:ascii="仿宋" w:hAnsi="仿宋" w:cs="仿宋"/>
          <w:color w:val="auto"/>
          <w:szCs w:val="28"/>
        </w:rPr>
        <w:t>不断强化专项扶贫资金管理，确保扶贫项目高质量实施。做好巩固拓展脱贫攻坚成果同乡村振兴有效衔接重点工作，常态化开展农区人居环境整治，扎实推进“厕所革命”。进一步巩固和提升“两不愁三保障”“五通七有”。深入开展农村人居环境整治提升行动，因地制宜完善垃圾处理、污水治理等基础设施，努力实现农村生活垃圾有效治理，不断改善农村居民生产生活条件。发展电商等新业态，强化畜产品产销衔接，有效提升牧民收入水平。</w:t>
      </w:r>
    </w:p>
    <w:p w14:paraId="20A5EE96">
      <w:pPr>
        <w:spacing w:line="540" w:lineRule="exact"/>
        <w:ind w:firstLine="506" w:firstLineChars="181"/>
        <w:rPr>
          <w:rFonts w:hint="eastAsia" w:ascii="仿宋" w:hAnsi="仿宋" w:cs="仿宋"/>
          <w:color w:val="auto"/>
          <w:szCs w:val="28"/>
        </w:rPr>
      </w:pPr>
      <w:r>
        <w:rPr>
          <w:rFonts w:hint="eastAsia" w:ascii="仿宋" w:hAnsi="仿宋" w:cs="仿宋"/>
          <w:color w:val="auto"/>
          <w:szCs w:val="28"/>
          <w:lang w:val="en-US" w:eastAsia="zh-CN"/>
        </w:rPr>
        <w:t>5</w:t>
      </w:r>
      <w:r>
        <w:rPr>
          <w:rFonts w:hint="eastAsia" w:ascii="仿宋" w:hAnsi="仿宋" w:cs="仿宋"/>
          <w:color w:val="auto"/>
          <w:szCs w:val="28"/>
        </w:rPr>
        <w:t>、强化民生保障，不断提高群众幸福指数</w:t>
      </w:r>
    </w:p>
    <w:p w14:paraId="5D390DE4">
      <w:pPr>
        <w:spacing w:line="540" w:lineRule="exact"/>
        <w:ind w:firstLine="506" w:firstLineChars="181"/>
        <w:rPr>
          <w:rStyle w:val="21"/>
          <w:rFonts w:ascii="仿宋" w:hAnsi="仿宋" w:cs="仿宋"/>
          <w:b w:val="0"/>
          <w:color w:val="auto"/>
          <w:spacing w:val="-4"/>
          <w:szCs w:val="28"/>
        </w:rPr>
      </w:pPr>
      <w:r>
        <w:rPr>
          <w:rFonts w:hint="eastAsia" w:ascii="仿宋" w:hAnsi="仿宋" w:cs="仿宋"/>
          <w:color w:val="auto"/>
          <w:szCs w:val="28"/>
        </w:rPr>
        <w:t>牢固树立以人民为中心的发展思想，坚持在发展中保障和改善民生，持续办好利民惠民实事，不断实现人民对美好生活的向往。持续实施就业优先战略，深挖一产发展潜力、增加三产就业容量，不断持续开发新的就业岗位，力促就业率达35%以上。全面贯彻党的教育方针，严格落实“控辍保学”，加大家庭困难学生帮扶力度，大力弘扬尊师重</w:t>
      </w:r>
      <w:r>
        <w:rPr>
          <w:rFonts w:hint="eastAsia" w:ascii="仿宋" w:hAnsi="仿宋" w:cs="仿宋"/>
          <w:color w:val="auto"/>
          <w:szCs w:val="28"/>
          <w:lang w:eastAsia="zh-CN"/>
        </w:rPr>
        <w:t>教的</w:t>
      </w:r>
      <w:r>
        <w:rPr>
          <w:rFonts w:hint="eastAsia" w:ascii="仿宋" w:hAnsi="仿宋" w:cs="仿宋"/>
          <w:color w:val="auto"/>
          <w:szCs w:val="28"/>
        </w:rPr>
        <w:t>社会风尚。持续开展全民免费健康体检，加强医疗卫生人才队伍建设，全方位提升医疗服务水平。扩大社保覆盖面，确保基本养老保险实现“应保尽保”。落实分层分类的社会救助体系，动态管理城乡低保、特困人员。严格落实安全生产责任制，突出企业主体责任、属地管理责任，重点抓好道路交通、森林防火、凯宏矿业、那巴高速施工等重点领域安全监管，完善监测预警、应急处置、救援救助机制，坚决遏制重特大事故发生。</w:t>
      </w:r>
    </w:p>
    <w:p w14:paraId="26148DE6">
      <w:pPr>
        <w:pStyle w:val="4"/>
        <w:spacing w:before="156"/>
        <w:rPr>
          <w:color w:val="auto"/>
        </w:rPr>
      </w:pPr>
      <w:r>
        <w:rPr>
          <w:rFonts w:hint="eastAsia"/>
          <w:color w:val="auto"/>
        </w:rPr>
        <w:t>（三）部门单位整体预算规模及安排情况</w:t>
      </w:r>
    </w:p>
    <w:p w14:paraId="72E5CD02">
      <w:pPr>
        <w:ind w:firstLine="602"/>
        <w:rPr>
          <w:b/>
          <w:bCs/>
          <w:color w:val="auto"/>
          <w:sz w:val="30"/>
          <w:szCs w:val="32"/>
        </w:rPr>
      </w:pPr>
      <w:r>
        <w:rPr>
          <w:rFonts w:hint="eastAsia"/>
          <w:b/>
          <w:bCs/>
          <w:color w:val="auto"/>
          <w:sz w:val="30"/>
          <w:szCs w:val="32"/>
        </w:rPr>
        <w:t>1.预算执行情况</w:t>
      </w:r>
    </w:p>
    <w:p w14:paraId="17183B0F">
      <w:pPr>
        <w:ind w:firstLine="560"/>
        <w:rPr>
          <w:rFonts w:ascii="Times New Roman" w:hAnsi="Times New Roman" w:cs="Times New Roman"/>
          <w:bCs/>
          <w:color w:val="auto"/>
        </w:rPr>
      </w:pPr>
      <w:r>
        <w:rPr>
          <w:rFonts w:hint="eastAsia" w:ascii="Times New Roman" w:hAnsi="Times New Roman" w:cs="Times New Roman"/>
          <w:bCs/>
          <w:color w:val="auto"/>
        </w:rPr>
        <w:t>（1）年初预算执行情况</w:t>
      </w:r>
    </w:p>
    <w:p w14:paraId="5C28C5EC">
      <w:pPr>
        <w:ind w:firstLine="560"/>
        <w:rPr>
          <w:rFonts w:ascii="Times New Roman" w:hAnsi="Times New Roman" w:cs="Times New Roman"/>
          <w:bCs/>
          <w:color w:val="auto"/>
        </w:rPr>
      </w:pPr>
      <w:r>
        <w:rPr>
          <w:rFonts w:hint="eastAsia" w:ascii="Times New Roman" w:hAnsi="Times New Roman" w:cs="Times New Roman"/>
          <w:bCs/>
          <w:color w:val="auto"/>
        </w:rPr>
        <w:t>我单位年初预算数为1289.23万元，实际预算执行数1191.89万元，预算执行率为92.45%。</w:t>
      </w:r>
    </w:p>
    <w:p w14:paraId="0D7CB913">
      <w:pPr>
        <w:ind w:firstLine="560"/>
        <w:rPr>
          <w:rFonts w:ascii="Times New Roman" w:hAnsi="Times New Roman" w:cs="Times New Roman"/>
          <w:bCs/>
          <w:color w:val="auto"/>
        </w:rPr>
      </w:pPr>
      <w:r>
        <w:rPr>
          <w:rFonts w:hint="eastAsia" w:ascii="Times New Roman" w:hAnsi="Times New Roman" w:cs="Times New Roman"/>
          <w:bCs/>
          <w:color w:val="auto"/>
        </w:rPr>
        <w:t>（2）全年预算执行情况</w:t>
      </w:r>
    </w:p>
    <w:p w14:paraId="42B9D2E8">
      <w:pPr>
        <w:ind w:firstLine="560"/>
        <w:rPr>
          <w:rFonts w:ascii="Times New Roman" w:hAnsi="Times New Roman" w:cs="Times New Roman"/>
          <w:bCs/>
          <w:color w:val="auto"/>
        </w:rPr>
      </w:pPr>
      <w:r>
        <w:rPr>
          <w:rFonts w:hint="eastAsia" w:ascii="Times New Roman" w:hAnsi="Times New Roman" w:cs="Times New Roman"/>
          <w:bCs/>
          <w:color w:val="auto"/>
        </w:rPr>
        <w:t>全年预算数为1207.63万元，全年实际支出资金1207.63万元，预算执行率为100%。</w:t>
      </w:r>
    </w:p>
    <w:p w14:paraId="05D19009">
      <w:pPr>
        <w:pStyle w:val="2"/>
        <w:ind w:firstLine="602"/>
        <w:rPr>
          <w:color w:val="auto"/>
        </w:rPr>
      </w:pPr>
      <w:r>
        <w:rPr>
          <w:rFonts w:hint="eastAsia"/>
          <w:color w:val="auto"/>
        </w:rPr>
        <w:t>2.预算调整（追加减）情况</w:t>
      </w:r>
    </w:p>
    <w:p w14:paraId="66BB6E8A">
      <w:pPr>
        <w:ind w:firstLine="560"/>
        <w:rPr>
          <w:rFonts w:ascii="Times New Roman" w:hAnsi="Times New Roman" w:cs="Times New Roman"/>
          <w:bCs/>
          <w:color w:val="auto"/>
        </w:rPr>
      </w:pPr>
      <w:r>
        <w:rPr>
          <w:rFonts w:hint="eastAsia" w:ascii="Times New Roman" w:hAnsi="Times New Roman" w:cs="Times New Roman"/>
          <w:bCs/>
          <w:color w:val="auto"/>
        </w:rPr>
        <w:t>我单位年初批复预算数1289.23万元，年中调整数</w:t>
      </w:r>
      <w:r>
        <w:rPr>
          <w:rFonts w:hint="eastAsia" w:ascii="Times New Roman" w:hAnsi="Times New Roman" w:cs="Times New Roman"/>
          <w:bCs/>
          <w:color w:val="auto"/>
          <w:lang w:val="en-US" w:eastAsia="zh-CN"/>
        </w:rPr>
        <w:t>81.6</w:t>
      </w:r>
      <w:r>
        <w:rPr>
          <w:rFonts w:hint="eastAsia" w:ascii="Times New Roman" w:hAnsi="Times New Roman" w:cs="Times New Roman"/>
          <w:bCs/>
          <w:color w:val="auto"/>
        </w:rPr>
        <w:t>万元，调整后全年预算数1207.63万元，预算调整率6.3</w:t>
      </w:r>
      <w:r>
        <w:rPr>
          <w:rFonts w:hint="eastAsia" w:ascii="Times New Roman" w:hAnsi="Times New Roman" w:cs="Times New Roman"/>
          <w:bCs/>
          <w:color w:val="auto"/>
          <w:lang w:val="en-US" w:eastAsia="zh-CN"/>
        </w:rPr>
        <w:t>3</w:t>
      </w:r>
      <w:r>
        <w:rPr>
          <w:rFonts w:hint="eastAsia" w:ascii="Times New Roman" w:hAnsi="Times New Roman" w:cs="Times New Roman"/>
          <w:bCs/>
          <w:color w:val="auto"/>
        </w:rPr>
        <w:t>%。（预算调整率=调整数/年初预算数*100%=6.3</w:t>
      </w:r>
      <w:r>
        <w:rPr>
          <w:rFonts w:hint="eastAsia" w:ascii="Times New Roman" w:hAnsi="Times New Roman" w:cs="Times New Roman"/>
          <w:bCs/>
          <w:color w:val="auto"/>
          <w:lang w:val="en-US" w:eastAsia="zh-CN"/>
        </w:rPr>
        <w:t>3</w:t>
      </w:r>
      <w:r>
        <w:rPr>
          <w:rFonts w:hint="eastAsia" w:ascii="Times New Roman" w:hAnsi="Times New Roman" w:cs="Times New Roman"/>
          <w:bCs/>
          <w:color w:val="auto"/>
        </w:rPr>
        <w:t>%</w:t>
      </w:r>
      <w:r>
        <w:rPr>
          <w:rFonts w:hint="eastAsia" w:ascii="Times New Roman" w:hAnsi="Times New Roman" w:cs="Times New Roman"/>
          <w:bCs/>
          <w:color w:val="auto"/>
          <w:lang w:eastAsia="zh-CN"/>
        </w:rPr>
        <w:t>）。</w:t>
      </w:r>
    </w:p>
    <w:p w14:paraId="0F2D4A6F">
      <w:pPr>
        <w:pStyle w:val="2"/>
        <w:ind w:firstLine="602"/>
        <w:rPr>
          <w:color w:val="auto"/>
        </w:rPr>
      </w:pPr>
      <w:r>
        <w:rPr>
          <w:color w:val="auto"/>
        </w:rPr>
        <w:t>3.资金使用主要内容、涉及的范围</w:t>
      </w:r>
    </w:p>
    <w:p w14:paraId="62BA6491">
      <w:pPr>
        <w:ind w:firstLine="560"/>
        <w:rPr>
          <w:color w:val="auto"/>
        </w:rPr>
      </w:pPr>
      <w:r>
        <w:rPr>
          <w:color w:val="auto"/>
        </w:rPr>
        <w:t>我单位2023年度部门整体支出为1207.63万元，其中：</w:t>
      </w:r>
    </w:p>
    <w:p w14:paraId="39778240">
      <w:pPr>
        <w:ind w:firstLine="560"/>
        <w:rPr>
          <w:color w:val="auto"/>
        </w:rPr>
      </w:pPr>
      <w:r>
        <w:rPr>
          <w:color w:val="auto"/>
        </w:rPr>
        <w:t>基本支出910.93万元，资金的使用方向为我单位机关人员经费支出</w:t>
      </w:r>
      <w:r>
        <w:rPr>
          <w:rFonts w:hint="eastAsia"/>
          <w:color w:val="auto"/>
        </w:rPr>
        <w:t>855.67</w:t>
      </w:r>
      <w:r>
        <w:rPr>
          <w:color w:val="auto"/>
        </w:rPr>
        <w:t>万元</w:t>
      </w:r>
      <w:r>
        <w:rPr>
          <w:rFonts w:hint="eastAsia"/>
          <w:color w:val="auto"/>
          <w:lang w:eastAsia="zh-CN"/>
        </w:rPr>
        <w:t>，</w:t>
      </w:r>
      <w:r>
        <w:rPr>
          <w:color w:val="auto"/>
        </w:rPr>
        <w:t>日常公用经费支出55.26万元</w:t>
      </w:r>
      <w:r>
        <w:rPr>
          <w:rFonts w:hint="eastAsia"/>
          <w:color w:val="auto"/>
          <w:lang w:eastAsia="zh-CN"/>
        </w:rPr>
        <w:t>，</w:t>
      </w:r>
      <w:r>
        <w:rPr>
          <w:rFonts w:hint="eastAsia"/>
          <w:color w:val="auto"/>
        </w:rPr>
        <w:t>主要用于保障人员工资及人员医保、社保、住房公积金等缴费，单位办公用品购买及车辆燃油费及维修等方面支出。</w:t>
      </w:r>
    </w:p>
    <w:p w14:paraId="06D5A5B4">
      <w:pPr>
        <w:ind w:firstLine="560"/>
        <w:rPr>
          <w:color w:val="auto"/>
        </w:rPr>
      </w:pPr>
      <w:r>
        <w:rPr>
          <w:color w:val="auto"/>
        </w:rPr>
        <w:t>项目支出共计2</w:t>
      </w:r>
      <w:r>
        <w:rPr>
          <w:rFonts w:hint="eastAsia"/>
          <w:color w:val="auto"/>
          <w:lang w:val="en-US" w:eastAsia="zh-CN"/>
        </w:rPr>
        <w:t>96.7</w:t>
      </w:r>
      <w:r>
        <w:rPr>
          <w:color w:val="auto"/>
        </w:rPr>
        <w:t>万元，主要用于保障2023年和静县巩乃斯镇乡村旅游建设项目（一期）、2023年和静县巩乃斯镇巩乃斯郭勒村洗衣烘干设备采购项目</w:t>
      </w:r>
      <w:r>
        <w:rPr>
          <w:rFonts w:hint="eastAsia"/>
          <w:color w:val="auto"/>
          <w:lang w:eastAsia="zh-CN"/>
        </w:rPr>
        <w:t>，</w:t>
      </w:r>
      <w:r>
        <w:rPr>
          <w:rFonts w:hint="eastAsia"/>
          <w:color w:val="auto"/>
        </w:rPr>
        <w:t>2023年人大工作经费，</w:t>
      </w:r>
      <w:r>
        <w:rPr>
          <w:color w:val="auto"/>
        </w:rPr>
        <w:t>纪检办公经费支出</w:t>
      </w:r>
      <w:r>
        <w:rPr>
          <w:rFonts w:hint="eastAsia"/>
          <w:color w:val="auto"/>
        </w:rPr>
        <w:t>，</w:t>
      </w:r>
      <w:r>
        <w:rPr>
          <w:color w:val="auto"/>
        </w:rPr>
        <w:t>文化办公经费支出</w:t>
      </w:r>
      <w:r>
        <w:rPr>
          <w:rFonts w:hint="eastAsia"/>
          <w:color w:val="auto"/>
        </w:rPr>
        <w:t>，</w:t>
      </w:r>
      <w:r>
        <w:rPr>
          <w:color w:val="auto"/>
        </w:rPr>
        <w:t>村社区办公经费支出。</w:t>
      </w:r>
    </w:p>
    <w:p w14:paraId="7F127E5C">
      <w:pPr>
        <w:pStyle w:val="3"/>
        <w:rPr>
          <w:color w:val="auto"/>
        </w:rPr>
      </w:pPr>
      <w:bookmarkStart w:id="1" w:name="_Toc32535_WPSOffice_Level1"/>
      <w:r>
        <w:rPr>
          <w:rFonts w:hint="eastAsia"/>
          <w:color w:val="auto"/>
        </w:rPr>
        <w:t>二、部门单位整体支出管理及使用情况</w:t>
      </w:r>
      <w:bookmarkEnd w:id="1"/>
    </w:p>
    <w:p w14:paraId="214DD2FB">
      <w:pPr>
        <w:pStyle w:val="4"/>
        <w:spacing w:before="156"/>
        <w:rPr>
          <w:color w:val="auto"/>
        </w:rPr>
      </w:pPr>
      <w:r>
        <w:rPr>
          <w:rFonts w:hint="eastAsia"/>
          <w:color w:val="auto"/>
        </w:rPr>
        <w:t>（一）基本支出和使用情况</w:t>
      </w:r>
    </w:p>
    <w:p w14:paraId="7B6602BD">
      <w:pPr>
        <w:ind w:firstLine="560"/>
        <w:rPr>
          <w:color w:val="auto"/>
        </w:rPr>
      </w:pPr>
      <w:r>
        <w:rPr>
          <w:rFonts w:hint="eastAsia"/>
          <w:color w:val="auto"/>
        </w:rPr>
        <w:t>基本支出预算是指为保障部门正常运转、完成日常工作任务而制定的本单位人员薪酬福利支出计划和日常办公经费支出计划，可分为人员经费支出和公用经费支出。2023年我单位基本支出全年预算总额910.93万元，全年实际支出910.93万元，资金执行率</w:t>
      </w:r>
      <w:r>
        <w:rPr>
          <w:rFonts w:hint="eastAsia"/>
          <w:color w:val="auto"/>
          <w:lang w:val="en-US" w:eastAsia="zh-CN"/>
        </w:rPr>
        <w:t>100</w:t>
      </w:r>
      <w:r>
        <w:rPr>
          <w:rFonts w:hint="eastAsia"/>
          <w:color w:val="auto"/>
        </w:rPr>
        <w:t>%。基本支出严格按照财务管理制度执行，其中：</w:t>
      </w:r>
    </w:p>
    <w:p w14:paraId="0CB24990">
      <w:pPr>
        <w:ind w:firstLine="560"/>
        <w:rPr>
          <w:color w:val="auto"/>
        </w:rPr>
      </w:pPr>
      <w:r>
        <w:rPr>
          <w:rFonts w:hint="eastAsia"/>
          <w:color w:val="auto"/>
        </w:rPr>
        <w:t>人员经费支出855.67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52F0DF6">
      <w:pPr>
        <w:ind w:firstLine="560"/>
        <w:rPr>
          <w:color w:val="auto"/>
        </w:rPr>
      </w:pPr>
      <w:r>
        <w:rPr>
          <w:rFonts w:hint="eastAsia"/>
          <w:color w:val="auto"/>
        </w:rPr>
        <w:t>公用经费支出55.26万元，主要包括：办公费、印刷费、水费、电费、邮电费、取暖费、物业管理费、差旅费、培训费、公务接待费、工会经费、福利费、公务用车运行维护费、其他交通费用、其他商品和服务支出。</w:t>
      </w:r>
    </w:p>
    <w:p w14:paraId="1A414F3D">
      <w:pPr>
        <w:pStyle w:val="4"/>
        <w:spacing w:before="156"/>
        <w:rPr>
          <w:color w:val="auto"/>
        </w:rPr>
      </w:pPr>
      <w:r>
        <w:rPr>
          <w:rFonts w:hint="eastAsia"/>
          <w:color w:val="auto"/>
        </w:rPr>
        <w:t>（二）政策、项目支出和使用情况</w:t>
      </w:r>
    </w:p>
    <w:p w14:paraId="72DE77E8">
      <w:pPr>
        <w:pStyle w:val="2"/>
        <w:ind w:firstLine="602"/>
        <w:rPr>
          <w:color w:val="auto"/>
        </w:rPr>
      </w:pPr>
      <w:r>
        <w:rPr>
          <w:rFonts w:hint="eastAsia"/>
          <w:color w:val="auto"/>
        </w:rPr>
        <w:t>1.政策、项目支出的投入情况分析</w:t>
      </w:r>
    </w:p>
    <w:p w14:paraId="11EF45A6">
      <w:pPr>
        <w:ind w:firstLine="560"/>
        <w:rPr>
          <w:color w:val="auto"/>
        </w:rPr>
      </w:pPr>
      <w:r>
        <w:rPr>
          <w:rFonts w:hint="eastAsia"/>
          <w:color w:val="auto"/>
        </w:rPr>
        <w:t>我单位2023年度共安排项目支出预算296.7万元，其中：上级专项资金296.7万元，本级财政资金0万元。</w:t>
      </w:r>
    </w:p>
    <w:p w14:paraId="7BA99689">
      <w:pPr>
        <w:pStyle w:val="2"/>
        <w:ind w:firstLine="602"/>
        <w:rPr>
          <w:color w:val="auto"/>
        </w:rPr>
      </w:pPr>
      <w:r>
        <w:rPr>
          <w:rFonts w:hint="eastAsia"/>
          <w:color w:val="auto"/>
        </w:rPr>
        <w:t>2.政策、项目支出管理情况</w:t>
      </w:r>
    </w:p>
    <w:p w14:paraId="25FD1C0C">
      <w:pPr>
        <w:ind w:firstLine="560"/>
        <w:rPr>
          <w:color w:val="auto"/>
        </w:rPr>
      </w:pPr>
      <w:r>
        <w:rPr>
          <w:rFonts w:hint="eastAsia"/>
          <w:color w:val="auto"/>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lang w:eastAsia="zh-CN"/>
        </w:rPr>
        <w:t>专账</w:t>
      </w:r>
      <w:r>
        <w:rPr>
          <w:rFonts w:hint="eastAsia"/>
          <w:color w:val="auto"/>
        </w:rPr>
        <w:t>，严格实行专款专用，保证资金及时足额用到项目中。2023年上级财政下达我单位专项资金296.7万元，其中</w:t>
      </w:r>
      <w:r>
        <w:rPr>
          <w:color w:val="auto"/>
        </w:rPr>
        <w:t>2023年和静县巩乃斯镇乡村旅游建设项目（一期）</w:t>
      </w:r>
      <w:r>
        <w:rPr>
          <w:rFonts w:hint="eastAsia"/>
          <w:color w:val="auto"/>
        </w:rPr>
        <w:t>207.52万元</w:t>
      </w:r>
      <w:r>
        <w:rPr>
          <w:color w:val="auto"/>
        </w:rPr>
        <w:t>、2023年和静县巩乃斯镇巩乃斯郭勒村洗衣烘干设备采购项目</w:t>
      </w:r>
      <w:r>
        <w:rPr>
          <w:rFonts w:hint="eastAsia"/>
          <w:color w:val="auto"/>
        </w:rPr>
        <w:t>54.74万元</w:t>
      </w:r>
      <w:r>
        <w:rPr>
          <w:rFonts w:hint="eastAsia"/>
          <w:color w:val="auto"/>
          <w:lang w:eastAsia="zh-CN"/>
        </w:rPr>
        <w:t>，</w:t>
      </w:r>
      <w:r>
        <w:rPr>
          <w:rFonts w:hint="eastAsia"/>
          <w:color w:val="auto"/>
        </w:rPr>
        <w:t>2023年人大工作经费1.25万元，</w:t>
      </w:r>
      <w:r>
        <w:rPr>
          <w:color w:val="auto"/>
        </w:rPr>
        <w:t>纪检办公经费支出</w:t>
      </w:r>
      <w:r>
        <w:rPr>
          <w:rFonts w:hint="eastAsia"/>
          <w:color w:val="auto"/>
        </w:rPr>
        <w:t>1.5</w:t>
      </w:r>
      <w:r>
        <w:rPr>
          <w:color w:val="auto"/>
        </w:rPr>
        <w:t>万元</w:t>
      </w:r>
      <w:r>
        <w:rPr>
          <w:rFonts w:hint="eastAsia"/>
          <w:color w:val="auto"/>
        </w:rPr>
        <w:t>，</w:t>
      </w:r>
      <w:r>
        <w:rPr>
          <w:color w:val="auto"/>
        </w:rPr>
        <w:t>文化办公经费支出</w:t>
      </w:r>
      <w:r>
        <w:rPr>
          <w:rFonts w:hint="eastAsia"/>
          <w:color w:val="auto"/>
        </w:rPr>
        <w:t>3.44</w:t>
      </w:r>
      <w:r>
        <w:rPr>
          <w:color w:val="auto"/>
        </w:rPr>
        <w:t>万元</w:t>
      </w:r>
      <w:r>
        <w:rPr>
          <w:rFonts w:hint="eastAsia"/>
          <w:color w:val="auto"/>
        </w:rPr>
        <w:t>，</w:t>
      </w:r>
      <w:r>
        <w:rPr>
          <w:color w:val="auto"/>
        </w:rPr>
        <w:t>村社区办公经费支出</w:t>
      </w:r>
      <w:r>
        <w:rPr>
          <w:rFonts w:hint="eastAsia"/>
          <w:color w:val="auto"/>
        </w:rPr>
        <w:t>28.25</w:t>
      </w:r>
      <w:r>
        <w:rPr>
          <w:color w:val="auto"/>
        </w:rPr>
        <w:t>万元</w:t>
      </w:r>
      <w:r>
        <w:rPr>
          <w:rFonts w:hint="eastAsia"/>
          <w:color w:val="auto"/>
          <w:lang w:eastAsia="zh-CN"/>
        </w:rPr>
        <w:t>，</w:t>
      </w:r>
      <w:r>
        <w:rPr>
          <w:rFonts w:hint="eastAsia"/>
          <w:color w:val="auto"/>
        </w:rPr>
        <w:t>全部通过财政国库集中支付方式直接拨给项目实施单位。</w:t>
      </w:r>
    </w:p>
    <w:p w14:paraId="16FC07B4">
      <w:pPr>
        <w:ind w:firstLine="560"/>
        <w:rPr>
          <w:color w:val="auto"/>
        </w:rPr>
      </w:pPr>
      <w:r>
        <w:rPr>
          <w:rFonts w:hint="eastAsia"/>
          <w:color w:val="auto"/>
        </w:rPr>
        <w:t>（2）项目实施组织管理情况。我单位项目实施和资金使用分配坚持集体决策。对项目制订工作方案，明确时间节点，开展项目规划设计、部署工作，认真落实项目任务。工作中突出重点，高标准规划、精细设计</w:t>
      </w:r>
      <w:r>
        <w:rPr>
          <w:rFonts w:hint="eastAsia"/>
          <w:color w:val="auto"/>
          <w:lang w:eastAsia="zh-CN"/>
        </w:rPr>
        <w:t>，</w:t>
      </w:r>
      <w:r>
        <w:rPr>
          <w:rFonts w:hint="eastAsia"/>
          <w:color w:val="auto"/>
        </w:rPr>
        <w:t>抓好财政改革，进一步完善财政体制，一是完成了镇财政体制建议方案，完善了我镇财务各项规章制度，进一步规范财政资金的使用，组织全镇机关、村、社区干部开展了财政相关法规、制度及2023年村级资金专题培训工作。二是加大内部监督力度监管我镇2023</w:t>
      </w:r>
      <w:r>
        <w:rPr>
          <w:rFonts w:hint="eastAsia"/>
          <w:color w:val="auto"/>
          <w:lang w:eastAsia="zh-CN"/>
        </w:rPr>
        <w:t>年</w:t>
      </w:r>
      <w:r>
        <w:rPr>
          <w:rFonts w:hint="eastAsia"/>
          <w:color w:val="auto"/>
        </w:rPr>
        <w:t>各项预算项目支出情况。</w:t>
      </w:r>
    </w:p>
    <w:p w14:paraId="76715246">
      <w:pPr>
        <w:pStyle w:val="2"/>
        <w:ind w:firstLine="602"/>
        <w:rPr>
          <w:color w:val="auto"/>
        </w:rPr>
      </w:pPr>
      <w:r>
        <w:rPr>
          <w:rFonts w:hint="eastAsia"/>
          <w:color w:val="auto"/>
        </w:rPr>
        <w:t>3.政策、项目支出总体实际使用情况</w:t>
      </w:r>
    </w:p>
    <w:p w14:paraId="73FB08DE">
      <w:pPr>
        <w:ind w:firstLine="560"/>
        <w:rPr>
          <w:color w:val="auto"/>
        </w:rPr>
      </w:pPr>
      <w:r>
        <w:rPr>
          <w:rFonts w:hint="eastAsia"/>
          <w:color w:val="auto"/>
        </w:rPr>
        <w:t>我单位2023年度安排项目支出资金296.7万元，实际支出296.7万元</w:t>
      </w:r>
      <w:r>
        <w:rPr>
          <w:rFonts w:hint="eastAsia"/>
          <w:color w:val="auto"/>
          <w:lang w:eastAsia="zh-CN"/>
        </w:rPr>
        <w:t>，</w:t>
      </w:r>
      <w:r>
        <w:rPr>
          <w:rFonts w:hint="eastAsia"/>
          <w:color w:val="auto"/>
        </w:rPr>
        <w:t>其中：上级专项资金支出262.26万元，本级财政安排项目资金支出34.44万元，项目预算资金执行率100%。</w:t>
      </w:r>
      <w:bookmarkStart w:id="2" w:name="_Toc1734_WPSOffice_Level1"/>
    </w:p>
    <w:p w14:paraId="68A52D03">
      <w:pPr>
        <w:ind w:firstLine="560"/>
        <w:rPr>
          <w:color w:val="auto"/>
        </w:rPr>
      </w:pPr>
      <w:r>
        <w:rPr>
          <w:color w:val="auto"/>
        </w:rPr>
        <w:t>我单位2023年度安排项目支出主要内容</w:t>
      </w:r>
      <w:r>
        <w:rPr>
          <w:rFonts w:hint="eastAsia"/>
          <w:color w:val="auto"/>
          <w:lang w:eastAsia="zh-CN"/>
        </w:rPr>
        <w:t>（</w:t>
      </w:r>
      <w:r>
        <w:rPr>
          <w:color w:val="auto"/>
        </w:rPr>
        <w:t>按功能分类</w:t>
      </w:r>
      <w:r>
        <w:rPr>
          <w:rFonts w:hint="eastAsia"/>
          <w:color w:val="auto"/>
          <w:lang w:eastAsia="zh-CN"/>
        </w:rPr>
        <w:t>）：</w:t>
      </w:r>
      <w:r>
        <w:rPr>
          <w:color w:val="auto"/>
        </w:rPr>
        <w:t>包括2010199人大办公经费支出</w:t>
      </w:r>
      <w:r>
        <w:rPr>
          <w:rFonts w:hint="eastAsia"/>
          <w:color w:val="auto"/>
        </w:rPr>
        <w:t>1.25</w:t>
      </w:r>
      <w:r>
        <w:rPr>
          <w:color w:val="auto"/>
        </w:rPr>
        <w:t>万元，2011199纪检办公经费支出</w:t>
      </w:r>
      <w:r>
        <w:rPr>
          <w:rFonts w:hint="eastAsia"/>
          <w:color w:val="auto"/>
        </w:rPr>
        <w:t>1.5</w:t>
      </w:r>
      <w:r>
        <w:rPr>
          <w:color w:val="auto"/>
        </w:rPr>
        <w:t>万元，2070199文化办公经费支出</w:t>
      </w:r>
      <w:r>
        <w:rPr>
          <w:rFonts w:hint="eastAsia"/>
          <w:color w:val="auto"/>
        </w:rPr>
        <w:t>3.44</w:t>
      </w:r>
      <w:r>
        <w:rPr>
          <w:color w:val="auto"/>
        </w:rPr>
        <w:t>万元，2130705村社区办公经费支出</w:t>
      </w:r>
      <w:r>
        <w:rPr>
          <w:rFonts w:hint="eastAsia"/>
          <w:color w:val="auto"/>
        </w:rPr>
        <w:t>28.25</w:t>
      </w:r>
      <w:r>
        <w:rPr>
          <w:color w:val="auto"/>
        </w:rPr>
        <w:t>万元，21305052023和静县巩乃斯镇乡村旅游建设项目（一期</w:t>
      </w:r>
      <w:r>
        <w:rPr>
          <w:rFonts w:hint="eastAsia"/>
          <w:color w:val="auto"/>
          <w:lang w:eastAsia="zh-CN"/>
        </w:rPr>
        <w:t>）</w:t>
      </w:r>
      <w:r>
        <w:rPr>
          <w:color w:val="auto"/>
        </w:rPr>
        <w:t>支出</w:t>
      </w:r>
      <w:r>
        <w:rPr>
          <w:rFonts w:hint="eastAsia"/>
          <w:color w:val="auto"/>
        </w:rPr>
        <w:t>207.52</w:t>
      </w:r>
      <w:r>
        <w:rPr>
          <w:color w:val="auto"/>
        </w:rPr>
        <w:t>万元</w:t>
      </w:r>
      <w:r>
        <w:rPr>
          <w:rFonts w:hint="eastAsia"/>
          <w:color w:val="auto"/>
          <w:lang w:eastAsia="zh-CN"/>
        </w:rPr>
        <w:t>，</w:t>
      </w:r>
      <w:r>
        <w:rPr>
          <w:rFonts w:hint="eastAsia"/>
          <w:color w:val="auto"/>
        </w:rPr>
        <w:t>2023年和静县巩乃斯镇巩乃斯郭勒村洗衣烘干设备采购项目支出54.74万元。</w:t>
      </w:r>
    </w:p>
    <w:bookmarkEnd w:id="2"/>
    <w:p w14:paraId="019FCEF2">
      <w:pPr>
        <w:pStyle w:val="3"/>
        <w:rPr>
          <w:color w:val="auto"/>
        </w:rPr>
      </w:pPr>
      <w:bookmarkStart w:id="3" w:name="_Toc13582_WPSOffice_Level1"/>
      <w:r>
        <w:rPr>
          <w:rFonts w:hint="eastAsia"/>
          <w:color w:val="auto"/>
        </w:rPr>
        <w:t>三、部门单位整体支出绩效</w:t>
      </w:r>
      <w:bookmarkEnd w:id="3"/>
      <w:r>
        <w:rPr>
          <w:rFonts w:hint="eastAsia"/>
          <w:color w:val="auto"/>
        </w:rPr>
        <w:t>分析</w:t>
      </w:r>
    </w:p>
    <w:p w14:paraId="6CA79C30">
      <w:pPr>
        <w:ind w:firstLine="560"/>
        <w:rPr>
          <w:color w:val="auto"/>
        </w:rPr>
      </w:pPr>
      <w:r>
        <w:rPr>
          <w:rFonts w:hint="eastAsia"/>
          <w:color w:val="auto"/>
        </w:rPr>
        <w:t>我单位2023年度部门整体支出绩效目标，共设置一级指标5个，二级指标7个，三级指标7个，其中已完成三级指标7个，指标完成率为100%。部门整体支出绩效情况如下：</w:t>
      </w:r>
    </w:p>
    <w:p w14:paraId="31779199">
      <w:pPr>
        <w:pStyle w:val="4"/>
        <w:spacing w:before="156"/>
        <w:rPr>
          <w:color w:val="auto"/>
        </w:rPr>
      </w:pPr>
      <w:r>
        <w:rPr>
          <w:rFonts w:hint="eastAsia"/>
          <w:color w:val="auto"/>
        </w:rPr>
        <w:t>（一）项目支出预算执行率指标完成情况分析</w:t>
      </w:r>
    </w:p>
    <w:p w14:paraId="5796FB56">
      <w:pPr>
        <w:ind w:firstLine="560"/>
        <w:rPr>
          <w:color w:val="auto"/>
        </w:rPr>
      </w:pPr>
      <w:r>
        <w:rPr>
          <w:rFonts w:hint="eastAsia"/>
          <w:color w:val="auto"/>
        </w:rPr>
        <w:t>项目支出预算执行率指标年初设定目标是=100%，年中绩效运行监控时完成值69.56%，年终实际完成值是100%，指标完成率是100%，达到项目资金支出专人负责落实责任，准确掌握资金使用进度，积极完备相关资料，全力保障资金使用进度确保资金使用的安全性和高效的预期目标。偏差原因：无偏差。</w:t>
      </w:r>
    </w:p>
    <w:p w14:paraId="307791A4">
      <w:pPr>
        <w:pStyle w:val="4"/>
        <w:numPr>
          <w:ilvl w:val="0"/>
          <w:numId w:val="1"/>
        </w:numPr>
        <w:spacing w:before="156"/>
        <w:rPr>
          <w:color w:val="auto"/>
        </w:rPr>
      </w:pPr>
      <w:r>
        <w:rPr>
          <w:rFonts w:hint="eastAsia"/>
          <w:color w:val="auto"/>
        </w:rPr>
        <w:t>“三公经费”控制率指标完成情况分析</w:t>
      </w:r>
    </w:p>
    <w:p w14:paraId="1283D5FD">
      <w:pPr>
        <w:ind w:firstLine="560"/>
        <w:rPr>
          <w:color w:val="auto"/>
        </w:rPr>
      </w:pPr>
      <w:r>
        <w:rPr>
          <w:rFonts w:hint="eastAsia"/>
          <w:color w:val="auto"/>
        </w:rPr>
        <w:t>“三公经费”控制率年初设定目标是=100%，年中绩效运行监控时完成值100，年终实际完成值是100%，指标完成率是100%，达到压减“三公经费”支出率预期目标。偏差原因：无偏差。</w:t>
      </w:r>
    </w:p>
    <w:p w14:paraId="3A0C2330">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项目实施及时率指标完成情况分析</w:t>
      </w:r>
    </w:p>
    <w:p w14:paraId="65DE372B">
      <w:pPr>
        <w:rPr>
          <w:color w:val="auto"/>
        </w:rPr>
      </w:pPr>
      <w:r>
        <w:rPr>
          <w:rFonts w:hint="eastAsia" w:ascii="楷体_GB2312" w:hAnsi="楷体_GB2312" w:eastAsia="楷体_GB2312" w:cs="楷体_GB2312"/>
          <w:b/>
          <w:bCs/>
          <w:color w:val="auto"/>
          <w:sz w:val="32"/>
          <w:szCs w:val="32"/>
        </w:rPr>
        <w:tab/>
      </w:r>
      <w:r>
        <w:rPr>
          <w:rFonts w:hint="eastAsia"/>
          <w:color w:val="auto"/>
        </w:rPr>
        <w:t>项目实施及时率年初设定目标是≥95%，年中绩效运行监控时完成值95，年终实际完成值是95%，指标完成率是100%，达到项目及时实施，能按期完成的预期目标。偏差原因：无偏差。</w:t>
      </w:r>
    </w:p>
    <w:p w14:paraId="6175F16F">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保障职工数量指标完成情况分析</w:t>
      </w:r>
    </w:p>
    <w:p w14:paraId="392950CC">
      <w:pPr>
        <w:ind w:firstLine="560"/>
        <w:rPr>
          <w:color w:val="auto"/>
        </w:rPr>
      </w:pPr>
      <w:r>
        <w:rPr>
          <w:rFonts w:hint="eastAsia"/>
          <w:bCs/>
          <w:color w:val="auto"/>
        </w:rPr>
        <w:t>保障职工数量年初设定目标是≤84人，年中绩效运行监控时完成值84，年终实际完成值是84，指标完成率是100%，达到了单位在职职工工资的按时足额发放，单位的正常运转，广大干部职工工作积极性提高的预期目标。偏差原因：无偏差。</w:t>
      </w:r>
    </w:p>
    <w:p w14:paraId="5959B2FC">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为民</w:t>
      </w:r>
      <w:r>
        <w:rPr>
          <w:rFonts w:hint="eastAsia" w:ascii="楷体_GB2312" w:hAnsi="楷体_GB2312" w:eastAsia="楷体_GB2312" w:cs="楷体_GB2312"/>
          <w:b/>
          <w:bCs/>
          <w:color w:val="auto"/>
          <w:sz w:val="32"/>
          <w:szCs w:val="32"/>
          <w:lang w:eastAsia="zh-CN"/>
        </w:rPr>
        <w:t>办实事</w:t>
      </w:r>
      <w:bookmarkStart w:id="6" w:name="_GoBack"/>
      <w:bookmarkEnd w:id="6"/>
      <w:r>
        <w:rPr>
          <w:rFonts w:hint="eastAsia" w:ascii="楷体_GB2312" w:hAnsi="楷体_GB2312" w:eastAsia="楷体_GB2312" w:cs="楷体_GB2312"/>
          <w:b/>
          <w:bCs/>
          <w:color w:val="auto"/>
          <w:sz w:val="32"/>
          <w:szCs w:val="32"/>
        </w:rPr>
        <w:t>数量指标完成情况分析</w:t>
      </w:r>
    </w:p>
    <w:p w14:paraId="694E6E03">
      <w:pPr>
        <w:ind w:firstLine="560"/>
        <w:rPr>
          <w:bCs/>
          <w:color w:val="auto"/>
        </w:rPr>
      </w:pPr>
      <w:r>
        <w:rPr>
          <w:rFonts w:hint="eastAsia"/>
          <w:bCs/>
          <w:color w:val="auto"/>
        </w:rPr>
        <w:t>为民</w:t>
      </w:r>
      <w:r>
        <w:rPr>
          <w:rFonts w:hint="eastAsia"/>
          <w:bCs/>
          <w:color w:val="auto"/>
          <w:lang w:eastAsia="zh-CN"/>
        </w:rPr>
        <w:t>办实事</w:t>
      </w:r>
      <w:r>
        <w:rPr>
          <w:rFonts w:hint="eastAsia"/>
          <w:bCs/>
          <w:color w:val="auto"/>
        </w:rPr>
        <w:t>数量年初设定目标是≥15件，年中绩效运行监控时完成值6件，年终实际完成值是15件，指标完成率是100%，达到了提升村、社区党组织服务群众能力，减轻农民负担预期目标。偏差原因：无偏差。</w:t>
      </w:r>
    </w:p>
    <w:p w14:paraId="5AAAC53F">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农牧民夜校受益人数指标完成情况分析</w:t>
      </w:r>
    </w:p>
    <w:p w14:paraId="1FB223CE">
      <w:pPr>
        <w:ind w:firstLine="560"/>
        <w:rPr>
          <w:bCs/>
          <w:color w:val="auto"/>
        </w:rPr>
      </w:pPr>
      <w:r>
        <w:rPr>
          <w:rFonts w:hint="eastAsia"/>
          <w:bCs/>
          <w:color w:val="auto"/>
        </w:rPr>
        <w:t>农牧民夜校受益人数年初设定目标是≥360人，年中绩效运行监控时完成值240人，年终实际完成值是360人，指标完成率是100%，达到提升农牧民生活质量及国语水平预期目标。偏差原因：无偏差。</w:t>
      </w:r>
    </w:p>
    <w:p w14:paraId="4D716CBD">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干部职工满意度指标完成情况分析</w:t>
      </w:r>
    </w:p>
    <w:p w14:paraId="1308F1C1">
      <w:pPr>
        <w:ind w:firstLine="560"/>
        <w:rPr>
          <w:bCs/>
          <w:color w:val="auto"/>
        </w:rPr>
      </w:pPr>
      <w:r>
        <w:rPr>
          <w:rFonts w:hint="eastAsia"/>
          <w:bCs/>
          <w:color w:val="auto"/>
        </w:rPr>
        <w:t>干部职工满意度年初设定目标是≥95%，年中绩效运行监控时完成值未达监控节点，年终实际完成值是95%，指标完成率是100%，达到有效提高干部职工工作满意度，调动干部职工积极性预期目标。偏差原因：无偏差。</w:t>
      </w:r>
    </w:p>
    <w:p w14:paraId="4AB22AE4">
      <w:pPr>
        <w:pStyle w:val="3"/>
        <w:ind w:left="560" w:leftChars="200" w:firstLine="0" w:firstLineChars="0"/>
        <w:rPr>
          <w:color w:val="auto"/>
        </w:rPr>
      </w:pPr>
      <w:r>
        <w:rPr>
          <w:rFonts w:hint="eastAsia"/>
          <w:color w:val="auto"/>
        </w:rPr>
        <w:t>四、评价结论</w:t>
      </w:r>
    </w:p>
    <w:p w14:paraId="6D0C798F">
      <w:pPr>
        <w:ind w:firstLine="560"/>
        <w:rPr>
          <w:rFonts w:ascii="Times New Roman" w:hAnsi="Times New Roman" w:cs="Times New Roman"/>
          <w:color w:val="auto"/>
        </w:rPr>
      </w:pPr>
      <w:r>
        <w:rPr>
          <w:rFonts w:hint="eastAsia"/>
          <w:color w:val="auto"/>
        </w:rPr>
        <w:t>我单位2023年度部门整体支出绩效自评综合得分100分，评价结果为“优”。</w:t>
      </w:r>
      <w:r>
        <w:rPr>
          <w:rFonts w:hint="eastAsia" w:ascii="Times New Roman" w:hAnsi="Times New Roman" w:cs="Times New Roman"/>
          <w:color w:val="auto"/>
        </w:rPr>
        <w:t>我</w:t>
      </w:r>
      <w:r>
        <w:rPr>
          <w:rFonts w:ascii="Times New Roman" w:hAnsi="Times New Roman" w:cs="Times New Roman"/>
          <w:color w:val="auto"/>
        </w:rPr>
        <w:t>单位202</w:t>
      </w:r>
      <w:r>
        <w:rPr>
          <w:rFonts w:hint="eastAsia" w:ascii="Times New Roman" w:hAnsi="Times New Roman" w:cs="Times New Roman"/>
          <w:color w:val="auto"/>
        </w:rPr>
        <w:t>3</w:t>
      </w:r>
      <w:r>
        <w:rPr>
          <w:rFonts w:ascii="Times New Roman" w:hAnsi="Times New Roman" w:cs="Times New Roman"/>
          <w:color w:val="auto"/>
        </w:rPr>
        <w:t>年部门履职效果良好，</w:t>
      </w:r>
      <w:r>
        <w:rPr>
          <w:rFonts w:hint="eastAsia" w:ascii="Times New Roman" w:hAnsi="Times New Roman" w:cs="Times New Roman"/>
          <w:color w:val="auto"/>
        </w:rPr>
        <w:t>主要体现在：</w:t>
      </w:r>
    </w:p>
    <w:p w14:paraId="61090DD6">
      <w:pPr>
        <w:ind w:firstLine="560"/>
        <w:rPr>
          <w:rFonts w:ascii="仿宋" w:hAnsi="仿宋" w:cs="仿宋"/>
          <w:color w:val="auto"/>
          <w:szCs w:val="28"/>
        </w:rPr>
      </w:pPr>
      <w:r>
        <w:rPr>
          <w:rFonts w:hint="eastAsia" w:ascii="Times New Roman" w:hAnsi="Times New Roman" w:cs="Times New Roman"/>
          <w:color w:val="auto"/>
        </w:rPr>
        <w:t>乡镇人员保障人数为84人，有效解决乡镇办公运行经费保障问题，提升村、社区党组织服务群众能力，减轻农民负担。通过村、社区党组织惠民政策的实施、村、社区党建服务品牌建设、村、社区运转经费和实施等为民办实事项目的开展，确保为民办实事工作覆盖率达到95%以上，提升村、社区党组织服务群众能力。村级食堂补贴就餐人数为37人，在所有村开办食堂，解决村级值班人员就餐问题，确保村干部干在村、吃在村、住在村，确保村级食堂食品达标率达到95%以上。项具体措施</w:t>
      </w:r>
      <w:r>
        <w:rPr>
          <w:rFonts w:hint="eastAsia" w:ascii="Times New Roman" w:hAnsi="Times New Roman" w:cs="Times New Roman"/>
          <w:color w:val="auto"/>
          <w:lang w:eastAsia="zh-CN"/>
        </w:rPr>
        <w:t>落到实处</w:t>
      </w:r>
      <w:r>
        <w:rPr>
          <w:rFonts w:hint="eastAsia" w:ascii="Times New Roman" w:hAnsi="Times New Roman" w:cs="Times New Roman"/>
          <w:color w:val="auto"/>
        </w:rPr>
        <w:t>。加强社会管理综合治理能力，维护社会稳定，营造良好社会秩序。确保专项资金专款专用，监督管理使用好各项支出，发挥效益目标。</w:t>
      </w:r>
    </w:p>
    <w:p w14:paraId="6C01B095">
      <w:pPr>
        <w:pStyle w:val="3"/>
        <w:rPr>
          <w:color w:val="auto"/>
        </w:rPr>
      </w:pPr>
      <w:bookmarkStart w:id="4" w:name="_Toc22800_WPSOffice_Level1"/>
      <w:r>
        <w:rPr>
          <w:rFonts w:hint="eastAsia"/>
          <w:color w:val="auto"/>
        </w:rPr>
        <w:t>五、存在的主要问题</w:t>
      </w:r>
      <w:bookmarkEnd w:id="4"/>
      <w:r>
        <w:rPr>
          <w:rFonts w:hint="eastAsia"/>
          <w:color w:val="auto"/>
        </w:rPr>
        <w:t>及原因分析</w:t>
      </w:r>
    </w:p>
    <w:p w14:paraId="7EB63574">
      <w:pPr>
        <w:ind w:firstLine="560"/>
        <w:rPr>
          <w:color w:val="auto"/>
        </w:rPr>
      </w:pPr>
      <w:bookmarkStart w:id="5" w:name="_Toc29546_WPSOffice_Level1"/>
      <w:r>
        <w:rPr>
          <w:rFonts w:hint="eastAsia"/>
          <w:color w:val="auto"/>
        </w:rPr>
        <w:t>（一）单位分工职责不明确；</w:t>
      </w:r>
    </w:p>
    <w:p w14:paraId="50E8A601">
      <w:pPr>
        <w:ind w:firstLine="560"/>
        <w:rPr>
          <w:color w:val="auto"/>
        </w:rPr>
      </w:pPr>
      <w:r>
        <w:rPr>
          <w:rFonts w:hint="eastAsia"/>
          <w:color w:val="auto"/>
        </w:rPr>
        <w:t>（二）绩效指标目标值的设定有待进一步合理化，在分解总体绩效目标中，产出指标中的质量指标设置为“项目完成率”不能很好</w:t>
      </w:r>
      <w:r>
        <w:rPr>
          <w:rFonts w:hint="eastAsia"/>
          <w:color w:val="auto"/>
          <w:lang w:eastAsia="zh-CN"/>
        </w:rPr>
        <w:t>地</w:t>
      </w:r>
      <w:r>
        <w:rPr>
          <w:rFonts w:hint="eastAsia"/>
          <w:color w:val="auto"/>
        </w:rPr>
        <w:t>反馈该项目实施的质量；此外时效指标设置为“项目持续时间”太过笼统，也不能很好体现项目是否及时开展。</w:t>
      </w:r>
    </w:p>
    <w:p w14:paraId="01BF6207">
      <w:pPr>
        <w:rPr>
          <w:rFonts w:ascii="黑体" w:hAnsi="黑体" w:eastAsia="黑体" w:cs="黑体"/>
          <w:color w:val="auto"/>
          <w:sz w:val="32"/>
          <w:szCs w:val="32"/>
        </w:rPr>
      </w:pPr>
      <w:r>
        <w:rPr>
          <w:rFonts w:hint="eastAsia" w:ascii="黑体" w:hAnsi="黑体" w:eastAsia="黑体" w:cs="黑体"/>
          <w:color w:val="auto"/>
          <w:sz w:val="32"/>
          <w:szCs w:val="32"/>
        </w:rPr>
        <w:t>六、改进措施和建议</w:t>
      </w:r>
      <w:bookmarkEnd w:id="5"/>
    </w:p>
    <w:p w14:paraId="1BF6B939">
      <w:pPr>
        <w:ind w:firstLine="560"/>
        <w:rPr>
          <w:color w:val="auto"/>
        </w:rPr>
      </w:pPr>
      <w:r>
        <w:rPr>
          <w:rFonts w:hint="eastAsia"/>
          <w:color w:val="auto"/>
        </w:rPr>
        <w:t>（一）制定相关责任制度，加强责任制度落实，明确责任分工。</w:t>
      </w:r>
    </w:p>
    <w:p w14:paraId="3E73E83A">
      <w:pPr>
        <w:ind w:firstLine="560"/>
        <w:rPr>
          <w:color w:val="auto"/>
        </w:rPr>
      </w:pPr>
      <w:r>
        <w:rPr>
          <w:rFonts w:hint="eastAsia"/>
          <w:color w:val="auto"/>
        </w:rPr>
        <w:t>（二）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7CC5C5F0">
      <w:pPr>
        <w:pStyle w:val="3"/>
        <w:rPr>
          <w:color w:val="auto"/>
        </w:rPr>
      </w:pPr>
      <w:r>
        <w:rPr>
          <w:rFonts w:hint="eastAsia"/>
          <w:color w:val="auto"/>
        </w:rPr>
        <w:t>七、附件上传</w:t>
      </w:r>
    </w:p>
    <w:p w14:paraId="67252726">
      <w:pPr>
        <w:ind w:firstLine="0" w:firstLineChars="0"/>
        <w:rPr>
          <w:color w:val="auto"/>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101F5">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14:paraId="3683B094">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BB9C7F"/>
    <w:multiLevelType w:val="singleLevel"/>
    <w:tmpl w:val="2BBB9C7F"/>
    <w:lvl w:ilvl="0" w:tentative="0">
      <w:start w:val="3"/>
      <w:numFmt w:val="chineseCounting"/>
      <w:suff w:val="nothing"/>
      <w:lvlText w:val="（%1）"/>
      <w:lvlJc w:val="left"/>
      <w:rPr>
        <w:rFonts w:hint="eastAsia"/>
      </w:rPr>
    </w:lvl>
  </w:abstractNum>
  <w:abstractNum w:abstractNumId="1">
    <w:nsid w:val="4D9E5DDD"/>
    <w:multiLevelType w:val="singleLevel"/>
    <w:tmpl w:val="4D9E5DD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A7DD1"/>
    <w:rsid w:val="002F7CCD"/>
    <w:rsid w:val="003F0DB2"/>
    <w:rsid w:val="003F77C6"/>
    <w:rsid w:val="00424A01"/>
    <w:rsid w:val="00491D09"/>
    <w:rsid w:val="004E1483"/>
    <w:rsid w:val="0054132C"/>
    <w:rsid w:val="005B1250"/>
    <w:rsid w:val="006258B7"/>
    <w:rsid w:val="00633862"/>
    <w:rsid w:val="00636691"/>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84181"/>
    <w:rsid w:val="00D9126A"/>
    <w:rsid w:val="00D93262"/>
    <w:rsid w:val="00DB1085"/>
    <w:rsid w:val="00EB1FFE"/>
    <w:rsid w:val="00F326C7"/>
    <w:rsid w:val="00F84215"/>
    <w:rsid w:val="00FF2ACD"/>
    <w:rsid w:val="012008EE"/>
    <w:rsid w:val="01941124"/>
    <w:rsid w:val="01CC583F"/>
    <w:rsid w:val="02337D11"/>
    <w:rsid w:val="02C40969"/>
    <w:rsid w:val="03D34078"/>
    <w:rsid w:val="04DB4953"/>
    <w:rsid w:val="04FF0482"/>
    <w:rsid w:val="05062887"/>
    <w:rsid w:val="05464D81"/>
    <w:rsid w:val="05F70F85"/>
    <w:rsid w:val="0607573C"/>
    <w:rsid w:val="06547701"/>
    <w:rsid w:val="072B19D6"/>
    <w:rsid w:val="084208C4"/>
    <w:rsid w:val="098A3C0A"/>
    <w:rsid w:val="09A24E4E"/>
    <w:rsid w:val="0A9A7091"/>
    <w:rsid w:val="0C6738B8"/>
    <w:rsid w:val="0DE867F9"/>
    <w:rsid w:val="0E7D784C"/>
    <w:rsid w:val="10300946"/>
    <w:rsid w:val="10FE60D7"/>
    <w:rsid w:val="134F7771"/>
    <w:rsid w:val="13E513B9"/>
    <w:rsid w:val="15440442"/>
    <w:rsid w:val="158C5316"/>
    <w:rsid w:val="15B904C0"/>
    <w:rsid w:val="15E86281"/>
    <w:rsid w:val="165C118C"/>
    <w:rsid w:val="172D035F"/>
    <w:rsid w:val="175D58E3"/>
    <w:rsid w:val="18061B60"/>
    <w:rsid w:val="186D685B"/>
    <w:rsid w:val="190C3DF8"/>
    <w:rsid w:val="19AA4D08"/>
    <w:rsid w:val="19F83E30"/>
    <w:rsid w:val="1B403139"/>
    <w:rsid w:val="1BED1ACF"/>
    <w:rsid w:val="1C5D10D4"/>
    <w:rsid w:val="1C6D319F"/>
    <w:rsid w:val="1D384A93"/>
    <w:rsid w:val="1D4D74D6"/>
    <w:rsid w:val="1DE32CFD"/>
    <w:rsid w:val="1E5A13A3"/>
    <w:rsid w:val="1F1A602A"/>
    <w:rsid w:val="1F2854B6"/>
    <w:rsid w:val="217D20CE"/>
    <w:rsid w:val="21C67E02"/>
    <w:rsid w:val="21C768CD"/>
    <w:rsid w:val="22E14253"/>
    <w:rsid w:val="23061667"/>
    <w:rsid w:val="23931BB2"/>
    <w:rsid w:val="23F209A3"/>
    <w:rsid w:val="2403516E"/>
    <w:rsid w:val="256A2A9E"/>
    <w:rsid w:val="27F7226E"/>
    <w:rsid w:val="2805537E"/>
    <w:rsid w:val="289437EE"/>
    <w:rsid w:val="297873DB"/>
    <w:rsid w:val="29F35E61"/>
    <w:rsid w:val="2A285817"/>
    <w:rsid w:val="2A707CA5"/>
    <w:rsid w:val="2B6F150A"/>
    <w:rsid w:val="2BB557CB"/>
    <w:rsid w:val="2BC51751"/>
    <w:rsid w:val="2BDE2BF8"/>
    <w:rsid w:val="2CE919AB"/>
    <w:rsid w:val="2D166684"/>
    <w:rsid w:val="2E6B0FAA"/>
    <w:rsid w:val="2EBF757D"/>
    <w:rsid w:val="313A1C72"/>
    <w:rsid w:val="31927D00"/>
    <w:rsid w:val="31AE39CE"/>
    <w:rsid w:val="31B83F5F"/>
    <w:rsid w:val="328E2AB6"/>
    <w:rsid w:val="329B12EA"/>
    <w:rsid w:val="32FB1A54"/>
    <w:rsid w:val="33291F9F"/>
    <w:rsid w:val="33A83F87"/>
    <w:rsid w:val="33AF2E9C"/>
    <w:rsid w:val="33D95C61"/>
    <w:rsid w:val="340D2D0F"/>
    <w:rsid w:val="348F1A9E"/>
    <w:rsid w:val="355C2B3F"/>
    <w:rsid w:val="356B4AF0"/>
    <w:rsid w:val="35F12468"/>
    <w:rsid w:val="367F6829"/>
    <w:rsid w:val="36851B5C"/>
    <w:rsid w:val="37661A13"/>
    <w:rsid w:val="379871D0"/>
    <w:rsid w:val="37BA58BB"/>
    <w:rsid w:val="37D360CA"/>
    <w:rsid w:val="38CB5066"/>
    <w:rsid w:val="38E054C9"/>
    <w:rsid w:val="3A565DE9"/>
    <w:rsid w:val="3AC36A27"/>
    <w:rsid w:val="3EB23A8E"/>
    <w:rsid w:val="3F301058"/>
    <w:rsid w:val="417A34F9"/>
    <w:rsid w:val="418810F4"/>
    <w:rsid w:val="41A37673"/>
    <w:rsid w:val="42503F5E"/>
    <w:rsid w:val="42C30950"/>
    <w:rsid w:val="453862A0"/>
    <w:rsid w:val="459B4F7E"/>
    <w:rsid w:val="45A65C7F"/>
    <w:rsid w:val="45F13359"/>
    <w:rsid w:val="468C2A4A"/>
    <w:rsid w:val="46AD2493"/>
    <w:rsid w:val="46EC7F14"/>
    <w:rsid w:val="474A045B"/>
    <w:rsid w:val="47876AEB"/>
    <w:rsid w:val="47CA7D9C"/>
    <w:rsid w:val="47DB3D58"/>
    <w:rsid w:val="48194880"/>
    <w:rsid w:val="48AF4C7F"/>
    <w:rsid w:val="4A5B46DD"/>
    <w:rsid w:val="4A6F6A56"/>
    <w:rsid w:val="4A81677A"/>
    <w:rsid w:val="4B3B5348"/>
    <w:rsid w:val="4BFF4EC2"/>
    <w:rsid w:val="4DA177B2"/>
    <w:rsid w:val="4DA370C6"/>
    <w:rsid w:val="4DF36D4F"/>
    <w:rsid w:val="501B7C76"/>
    <w:rsid w:val="504D5CCF"/>
    <w:rsid w:val="511A2CA6"/>
    <w:rsid w:val="517972FD"/>
    <w:rsid w:val="532A571B"/>
    <w:rsid w:val="533A7469"/>
    <w:rsid w:val="53526129"/>
    <w:rsid w:val="538B4CD8"/>
    <w:rsid w:val="53A21BCD"/>
    <w:rsid w:val="54394F3D"/>
    <w:rsid w:val="565F61A9"/>
    <w:rsid w:val="56610168"/>
    <w:rsid w:val="56AD4B11"/>
    <w:rsid w:val="57232FC4"/>
    <w:rsid w:val="572D2326"/>
    <w:rsid w:val="57365691"/>
    <w:rsid w:val="59EE1E48"/>
    <w:rsid w:val="5A490F5C"/>
    <w:rsid w:val="5B805E16"/>
    <w:rsid w:val="5BD21464"/>
    <w:rsid w:val="5BDE2B83"/>
    <w:rsid w:val="5C777282"/>
    <w:rsid w:val="5F8646A4"/>
    <w:rsid w:val="61635F72"/>
    <w:rsid w:val="618606C5"/>
    <w:rsid w:val="6224402D"/>
    <w:rsid w:val="626A7D5C"/>
    <w:rsid w:val="6384067A"/>
    <w:rsid w:val="638D125E"/>
    <w:rsid w:val="6396333E"/>
    <w:rsid w:val="63E114D3"/>
    <w:rsid w:val="67C1246C"/>
    <w:rsid w:val="69405F1E"/>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227915"/>
    <w:rsid w:val="744C1D4E"/>
    <w:rsid w:val="748A4F72"/>
    <w:rsid w:val="74961819"/>
    <w:rsid w:val="74FE723F"/>
    <w:rsid w:val="750202C6"/>
    <w:rsid w:val="75664078"/>
    <w:rsid w:val="761E4132"/>
    <w:rsid w:val="78061A79"/>
    <w:rsid w:val="79181486"/>
    <w:rsid w:val="7AFE508C"/>
    <w:rsid w:val="7B2561EC"/>
    <w:rsid w:val="7BC003CA"/>
    <w:rsid w:val="7CBF4BB4"/>
    <w:rsid w:val="7E53749D"/>
    <w:rsid w:val="7E5D346D"/>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jc w:val="center"/>
    </w:pPr>
    <w:rPr>
      <w:b/>
      <w:sz w:val="44"/>
    </w:rPr>
  </w:style>
  <w:style w:type="paragraph" w:styleId="10">
    <w:name w:val="Balloon Text"/>
    <w:basedOn w:val="1"/>
    <w:link w:val="29"/>
    <w:semiHidden/>
    <w:unhideWhenUsed/>
    <w:qFormat/>
    <w:uiPriority w:val="99"/>
    <w:pPr>
      <w:spacing w:line="240" w:lineRule="auto"/>
    </w:pPr>
    <w:rPr>
      <w:sz w:val="18"/>
      <w:szCs w:val="18"/>
    </w:rPr>
  </w:style>
  <w:style w:type="paragraph" w:styleId="11">
    <w:name w:val="footer"/>
    <w:basedOn w:val="1"/>
    <w:link w:val="25"/>
    <w:unhideWhenUsed/>
    <w:qFormat/>
    <w:uiPriority w:val="99"/>
    <w:pPr>
      <w:tabs>
        <w:tab w:val="center" w:pos="4153"/>
        <w:tab w:val="right" w:pos="8306"/>
      </w:tabs>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rFonts w:cs="Times New Roman"/>
      <w:sz w:val="24"/>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character" w:styleId="23">
    <w:name w:val="annotation reference"/>
    <w:basedOn w:val="20"/>
    <w:semiHidden/>
    <w:unhideWhenUsed/>
    <w:qFormat/>
    <w:uiPriority w:val="99"/>
    <w:rPr>
      <w:sz w:val="21"/>
      <w:szCs w:val="21"/>
    </w:rPr>
  </w:style>
  <w:style w:type="paragraph" w:customStyle="1" w:styleId="24">
    <w:name w:val="列出段落1"/>
    <w:basedOn w:val="1"/>
    <w:unhideWhenUsed/>
    <w:qFormat/>
    <w:uiPriority w:val="99"/>
    <w:pPr>
      <w:ind w:firstLine="420"/>
    </w:pPr>
  </w:style>
  <w:style w:type="character" w:customStyle="1" w:styleId="25">
    <w:name w:val="页脚 Char"/>
    <w:basedOn w:val="20"/>
    <w:link w:val="11"/>
    <w:qFormat/>
    <w:uiPriority w:val="99"/>
    <w:rPr>
      <w:sz w:val="18"/>
      <w:szCs w:val="18"/>
    </w:rPr>
  </w:style>
  <w:style w:type="character" w:customStyle="1" w:styleId="26">
    <w:name w:val="页眉 Char"/>
    <w:basedOn w:val="20"/>
    <w:link w:val="12"/>
    <w:qFormat/>
    <w:uiPriority w:val="99"/>
    <w:rPr>
      <w:sz w:val="18"/>
      <w:szCs w:val="18"/>
    </w:rPr>
  </w:style>
  <w:style w:type="paragraph" w:customStyle="1" w:styleId="27">
    <w:name w:val="WPSOffice手动目录 1"/>
    <w:qFormat/>
    <w:uiPriority w:val="0"/>
    <w:rPr>
      <w:rFonts w:asciiTheme="minorHAnsi" w:hAnsiTheme="minorHAnsi" w:eastAsiaTheme="minorEastAsia" w:cstheme="minorBidi"/>
      <w:lang w:val="en-US" w:eastAsia="zh-CN" w:bidi="ar-SA"/>
    </w:rPr>
  </w:style>
  <w:style w:type="paragraph" w:customStyle="1" w:styleId="28">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9">
    <w:name w:val="批注框文本 Char"/>
    <w:basedOn w:val="20"/>
    <w:link w:val="10"/>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12</Pages>
  <Words>6388</Words>
  <Characters>6747</Characters>
  <Lines>48</Lines>
  <Paragraphs>13</Paragraphs>
  <TotalTime>7</TotalTime>
  <ScaleCrop>false</ScaleCrop>
  <LinksUpToDate>false</LinksUpToDate>
  <CharactersWithSpaces>6748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2024-05-15T10:40:00Z</dcterms:created>
  <dc:creator>ght-pc</dc:creator>
  <cp:lastModifiedBy>布舵</cp:lastModifiedBy>
  <dcterms:modified xsi:type="dcterms:W3CDTF">2024-11-22T04:42:11Z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