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B8990">
      <w:pPr>
        <w:spacing w:beforeLines="100" w:line="480" w:lineRule="auto"/>
        <w:ind w:firstLine="0" w:firstLineChars="0"/>
        <w:jc w:val="center"/>
        <w:rPr>
          <w:rFonts w:ascii="黑体" w:hAnsi="黑体" w:eastAsia="黑体" w:cs="黑体"/>
          <w:color w:val="auto"/>
          <w:sz w:val="44"/>
          <w:szCs w:val="44"/>
          <w:highlight w:val="none"/>
        </w:rPr>
      </w:pPr>
      <w:bookmarkStart w:id="0" w:name="_Toc23945_WPSOffice_Level1"/>
      <w:r>
        <w:rPr>
          <w:rFonts w:hint="eastAsia" w:ascii="黑体" w:hAnsi="黑体" w:eastAsia="黑体" w:cs="黑体"/>
          <w:color w:val="auto"/>
          <w:sz w:val="44"/>
          <w:szCs w:val="44"/>
          <w:highlight w:val="none"/>
        </w:rPr>
        <w:t>部门单位整体支出绩效自评报告</w:t>
      </w:r>
    </w:p>
    <w:p w14:paraId="1B96B604">
      <w:pPr>
        <w:pStyle w:val="3"/>
        <w:rPr>
          <w:color w:val="auto"/>
          <w:highlight w:val="none"/>
        </w:rPr>
      </w:pPr>
      <w:r>
        <w:rPr>
          <w:rFonts w:hint="eastAsia"/>
          <w:color w:val="auto"/>
          <w:highlight w:val="none"/>
        </w:rPr>
        <w:t>一、基本概况</w:t>
      </w:r>
      <w:bookmarkEnd w:id="0"/>
    </w:p>
    <w:p w14:paraId="0EC80C0F">
      <w:pPr>
        <w:pStyle w:val="4"/>
        <w:spacing w:before="156"/>
        <w:ind w:firstLine="643"/>
        <w:rPr>
          <w:color w:val="auto"/>
          <w:highlight w:val="none"/>
        </w:rPr>
      </w:pPr>
      <w:r>
        <w:rPr>
          <w:rFonts w:hint="eastAsia"/>
          <w:color w:val="auto"/>
          <w:highlight w:val="none"/>
        </w:rPr>
        <w:t>（一）部门单位基本情况</w:t>
      </w:r>
    </w:p>
    <w:p w14:paraId="411FFF72">
      <w:pPr>
        <w:pStyle w:val="2"/>
        <w:ind w:firstLine="602"/>
        <w:rPr>
          <w:color w:val="auto"/>
          <w:highlight w:val="none"/>
        </w:rPr>
      </w:pPr>
      <w:r>
        <w:rPr>
          <w:rFonts w:hint="eastAsia"/>
          <w:color w:val="auto"/>
          <w:highlight w:val="none"/>
        </w:rPr>
        <w:t>1.部门主要职能</w:t>
      </w:r>
    </w:p>
    <w:p w14:paraId="4F6FB279">
      <w:pPr>
        <w:ind w:firstLine="560"/>
        <w:rPr>
          <w:color w:val="auto"/>
          <w:highlight w:val="none"/>
        </w:rPr>
      </w:pPr>
      <w:r>
        <w:rPr>
          <w:color w:val="auto"/>
          <w:highlight w:val="none"/>
        </w:rPr>
        <w:t>和静县本级和静县</w:t>
      </w:r>
      <w:r>
        <w:rPr>
          <w:rFonts w:hint="eastAsia"/>
          <w:color w:val="auto"/>
          <w:highlight w:val="none"/>
        </w:rPr>
        <w:t>额勒再特乌鲁乡人民政府</w:t>
      </w:r>
      <w:r>
        <w:rPr>
          <w:color w:val="auto"/>
          <w:highlight w:val="none"/>
        </w:rPr>
        <w:t>为</w:t>
      </w:r>
      <w:r>
        <w:rPr>
          <w:rFonts w:hint="eastAsia"/>
          <w:color w:val="auto"/>
          <w:highlight w:val="none"/>
        </w:rPr>
        <w:t>机关</w:t>
      </w:r>
      <w:r>
        <w:rPr>
          <w:color w:val="auto"/>
          <w:highlight w:val="none"/>
        </w:rPr>
        <w:t>单位，主要职责是：</w:t>
      </w:r>
    </w:p>
    <w:p w14:paraId="6C4F3842">
      <w:pPr>
        <w:ind w:firstLine="560"/>
        <w:rPr>
          <w:color w:val="auto"/>
          <w:highlight w:val="none"/>
        </w:rPr>
      </w:pPr>
      <w:r>
        <w:rPr>
          <w:color w:val="auto"/>
          <w:highlight w:val="none"/>
        </w:rPr>
        <w:t>（1）执行本级人民代表大会的决议和上级国家行政机关的决定和命令，发布决定和命令。</w:t>
      </w:r>
    </w:p>
    <w:p w14:paraId="5FAE0075">
      <w:pPr>
        <w:ind w:firstLine="560"/>
        <w:rPr>
          <w:color w:val="auto"/>
          <w:highlight w:val="none"/>
        </w:rPr>
      </w:pPr>
      <w:r>
        <w:rPr>
          <w:color w:val="auto"/>
          <w:highlight w:val="none"/>
        </w:rPr>
        <w:t>（2）执行本行政区域内的经济和社会发展计划、预算，管理本行政区域内的经济、教育、科学、文化、卫生、体育事业、财政、民政、司法行政、计划生育等行政工作。</w:t>
      </w:r>
    </w:p>
    <w:p w14:paraId="094FE643">
      <w:pPr>
        <w:ind w:firstLine="560"/>
        <w:rPr>
          <w:color w:val="auto"/>
          <w:highlight w:val="none"/>
        </w:rPr>
      </w:pPr>
      <w:r>
        <w:rPr>
          <w:color w:val="auto"/>
          <w:highlight w:val="none"/>
        </w:rPr>
        <w:t>（3）保护社会主义的全民所有的财产和劳动群众集体所有的财产，保护公民私人所有的合法财产，维护社会秩序，保障公民的人身权利、民主权利和其他权利。</w:t>
      </w:r>
    </w:p>
    <w:p w14:paraId="436DAD2A">
      <w:pPr>
        <w:ind w:firstLine="560"/>
        <w:rPr>
          <w:color w:val="auto"/>
          <w:highlight w:val="none"/>
        </w:rPr>
      </w:pPr>
      <w:r>
        <w:rPr>
          <w:color w:val="auto"/>
          <w:highlight w:val="none"/>
        </w:rPr>
        <w:t>（4）保护各种经济组织的合法权益。</w:t>
      </w:r>
    </w:p>
    <w:p w14:paraId="13F4CD58">
      <w:pPr>
        <w:ind w:firstLine="560"/>
        <w:rPr>
          <w:color w:val="auto"/>
          <w:highlight w:val="none"/>
        </w:rPr>
      </w:pPr>
      <w:r>
        <w:rPr>
          <w:color w:val="auto"/>
          <w:highlight w:val="none"/>
        </w:rPr>
        <w:t>（5）保障少数民族的权利和尊重少数民族的风俗习惯。</w:t>
      </w:r>
    </w:p>
    <w:p w14:paraId="4078816F">
      <w:pPr>
        <w:ind w:firstLine="560"/>
        <w:rPr>
          <w:color w:val="auto"/>
          <w:highlight w:val="none"/>
        </w:rPr>
      </w:pPr>
      <w:r>
        <w:rPr>
          <w:color w:val="auto"/>
          <w:highlight w:val="none"/>
        </w:rPr>
        <w:t>（6）保障宪法和法律赋予妇女的男女平等、同工同酬和婚姻自由等各项权利。</w:t>
      </w:r>
    </w:p>
    <w:p w14:paraId="2AEC05EC">
      <w:pPr>
        <w:ind w:firstLine="560"/>
        <w:rPr>
          <w:color w:val="auto"/>
          <w:highlight w:val="none"/>
        </w:rPr>
      </w:pPr>
      <w:r>
        <w:rPr>
          <w:color w:val="auto"/>
          <w:highlight w:val="none"/>
        </w:rPr>
        <w:t>（7）办理上级人民政府交办的其他事项。</w:t>
      </w:r>
    </w:p>
    <w:p w14:paraId="1B540C10">
      <w:pPr>
        <w:pStyle w:val="2"/>
        <w:ind w:firstLine="602"/>
        <w:rPr>
          <w:color w:val="auto"/>
          <w:highlight w:val="none"/>
        </w:rPr>
      </w:pPr>
      <w:r>
        <w:rPr>
          <w:rFonts w:hint="eastAsia"/>
          <w:color w:val="auto"/>
          <w:highlight w:val="none"/>
        </w:rPr>
        <w:t>2.部门机构设置及人员构成</w:t>
      </w:r>
    </w:p>
    <w:p w14:paraId="5E85BD7D">
      <w:pPr>
        <w:ind w:firstLine="560"/>
        <w:rPr>
          <w:color w:val="auto"/>
          <w:highlight w:val="none"/>
        </w:rPr>
      </w:pPr>
      <w:r>
        <w:rPr>
          <w:rFonts w:hint="eastAsia"/>
          <w:color w:val="auto"/>
          <w:highlight w:val="none"/>
        </w:rPr>
        <w:t>根据上述职责，和静县额勒再特乌鲁乡人民政府下设7个科室，分别是：和静县额勒再特乌鲁乡党委、和静县额勒再特乌鲁乡财政所、和静县额勒再特乌鲁乡农牧业发展服务中心、和静县额勒再特乌鲁乡人口和计划生育生殖健康服务站、和静县额勒再特乌鲁乡民政社会保障服务中心、和静县额勒再特乌鲁乡文体广电服务中心、额勒再特乌鲁乡社区事业服务中心。</w:t>
      </w:r>
    </w:p>
    <w:p w14:paraId="735193B9">
      <w:pPr>
        <w:ind w:firstLine="560"/>
        <w:rPr>
          <w:color w:val="auto"/>
          <w:highlight w:val="none"/>
        </w:rPr>
      </w:pPr>
      <w:r>
        <w:rPr>
          <w:rFonts w:hint="eastAsia"/>
          <w:color w:val="auto"/>
          <w:highlight w:val="none"/>
        </w:rPr>
        <w:t>和静县额勒再特乌鲁乡人民政府人员编制数共43人，其中：行政编制19人，事业编制21人，工勤3人。年初预算实有在职人员37人，退休人员11人。年末实有在职人数37人，临时工0人，退休人员11人。</w:t>
      </w:r>
    </w:p>
    <w:p w14:paraId="53D0385C">
      <w:pPr>
        <w:pStyle w:val="4"/>
        <w:spacing w:before="156"/>
        <w:ind w:firstLine="643"/>
        <w:rPr>
          <w:color w:val="auto"/>
          <w:highlight w:val="none"/>
        </w:rPr>
      </w:pPr>
      <w:r>
        <w:rPr>
          <w:rFonts w:hint="eastAsia"/>
          <w:color w:val="auto"/>
          <w:highlight w:val="none"/>
        </w:rPr>
        <w:t>（二）部门单位年度重点工作</w:t>
      </w:r>
    </w:p>
    <w:p w14:paraId="1331E4E1">
      <w:pPr>
        <w:adjustRightInd/>
        <w:snapToGrid/>
        <w:spacing w:line="560" w:lineRule="exact"/>
        <w:rPr>
          <w:rFonts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lang w:val="en-US" w:eastAsia="zh-CN"/>
        </w:rPr>
        <w:t>1</w:t>
      </w:r>
      <w:r>
        <w:rPr>
          <w:rFonts w:hint="eastAsia" w:ascii="方正黑体_GBK" w:hAnsi="方正黑体_GBK" w:eastAsia="方正黑体_GBK" w:cs="方正黑体_GBK"/>
          <w:color w:val="auto"/>
          <w:sz w:val="32"/>
          <w:szCs w:val="32"/>
          <w:highlight w:val="none"/>
        </w:rPr>
        <w:t>、扎实开展学习活动</w:t>
      </w:r>
    </w:p>
    <w:p w14:paraId="316E5743">
      <w:pPr>
        <w:adjustRightInd/>
        <w:snapToGrid/>
        <w:spacing w:line="560" w:lineRule="exact"/>
        <w:ind w:firstLine="560"/>
        <w:rPr>
          <w:rFonts w:ascii="仿宋" w:hAnsi="仿宋" w:cs="仿宋"/>
          <w:color w:val="auto"/>
          <w:szCs w:val="28"/>
          <w:highlight w:val="none"/>
        </w:rPr>
      </w:pPr>
      <w:r>
        <w:rPr>
          <w:rFonts w:hint="eastAsia" w:ascii="仿宋" w:hAnsi="仿宋" w:cs="仿宋"/>
          <w:color w:val="auto"/>
          <w:szCs w:val="28"/>
          <w:highlight w:val="none"/>
        </w:rPr>
        <w:t>坚持不懈用习近平新时代中国特色社会主义思想凝心铸魂，切实加强党的思想建设，推动党员干部更加深刻领悟“两个确立”的决定性意义，更加自觉增强“四个意识”、坚定“四个自信”、做到“两个维护”，严格按照方案开展学习教育活动，对做</w:t>
      </w:r>
      <w:r>
        <w:rPr>
          <w:rFonts w:hint="eastAsia" w:ascii="仿宋" w:hAnsi="仿宋" w:cs="仿宋"/>
          <w:color w:val="auto"/>
          <w:szCs w:val="28"/>
          <w:highlight w:val="none"/>
          <w:lang w:eastAsia="zh-CN"/>
        </w:rPr>
        <w:t>得</w:t>
      </w:r>
      <w:r>
        <w:rPr>
          <w:rFonts w:hint="eastAsia" w:ascii="仿宋" w:hAnsi="仿宋" w:cs="仿宋"/>
          <w:color w:val="auto"/>
          <w:szCs w:val="28"/>
          <w:highlight w:val="none"/>
        </w:rPr>
        <w:t>不到位的单位和个人加强督查，确保全镇活动开展扎实、有效；做好查摆问题、开展批评等工作，达到帮助同志、增进团结、促进工作的目的；将边查边改的要求贯穿活动始终，着力解决镇村干部中存在的大局观念不强、责任意识淡化、作风纪律涣散等突出问题，引导党员干部心往一处想、劲往一处使，打造一支廉洁勤政、务实高效的镇村干部队伍。</w:t>
      </w:r>
    </w:p>
    <w:p w14:paraId="2883AA72">
      <w:pPr>
        <w:adjustRightInd/>
        <w:snapToGrid/>
        <w:spacing w:line="560" w:lineRule="exact"/>
        <w:rPr>
          <w:rFonts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lang w:val="en-US" w:eastAsia="zh-CN"/>
        </w:rPr>
        <w:t>2</w:t>
      </w:r>
      <w:r>
        <w:rPr>
          <w:rFonts w:hint="eastAsia" w:ascii="方正黑体_GBK" w:hAnsi="方正黑体_GBK" w:eastAsia="方正黑体_GBK" w:cs="方正黑体_GBK"/>
          <w:color w:val="auto"/>
          <w:sz w:val="32"/>
          <w:szCs w:val="32"/>
          <w:highlight w:val="none"/>
        </w:rPr>
        <w:t>、强化底线思维，筑牢长治久安根基</w:t>
      </w:r>
    </w:p>
    <w:p w14:paraId="4CA62FFB">
      <w:pPr>
        <w:adjustRightInd/>
        <w:snapToGrid/>
        <w:spacing w:line="560" w:lineRule="exact"/>
        <w:ind w:firstLine="560"/>
        <w:rPr>
          <w:rFonts w:ascii="仿宋" w:hAnsi="仿宋" w:cs="仿宋"/>
          <w:color w:val="auto"/>
          <w:szCs w:val="28"/>
          <w:highlight w:val="none"/>
        </w:rPr>
      </w:pPr>
      <w:r>
        <w:rPr>
          <w:rFonts w:hint="eastAsia" w:ascii="仿宋" w:hAnsi="仿宋" w:cs="仿宋"/>
          <w:color w:val="auto"/>
          <w:szCs w:val="28"/>
          <w:highlight w:val="none"/>
        </w:rPr>
        <w:t>牢固树立统筹发展和安全的工作导向，从严落实维稳措施，着力解决影响社会稳定的矛盾纠纷问题，确保社会大局持续长期稳定。持续加强法治政府建设，深入贯彻习近平法治思想，严格落实“八五”普法规划，依托“法治宣传月”、宪法宣传、国家安全宣传等活动载体，大力弘扬法治精神，加大法治宣传教育，不断提高各级干部依法履职、依法办事能力。持续深化严打斗争，保持严打高压威慑状态不动摇，构建我镇网格化服务指挥体系，形成“网格化布控、精细化防控、信息化支撑”的维稳工作全覆盖机制。制定偏远散区域清山巡逻方案，常态化开展清山活动，实时掌握偏远散区域动态；稳步推行流动人口服务管理和“两头抓、双向管”工作机制，针对人员流动性大的企业、工地等区域实行定期走访、动态管理。</w:t>
      </w:r>
    </w:p>
    <w:p w14:paraId="5EFB0744">
      <w:pPr>
        <w:adjustRightInd/>
        <w:snapToGrid/>
        <w:spacing w:line="560" w:lineRule="exact"/>
        <w:rPr>
          <w:rFonts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lang w:val="en-US" w:eastAsia="zh-CN"/>
        </w:rPr>
        <w:t>3</w:t>
      </w:r>
      <w:r>
        <w:rPr>
          <w:rFonts w:hint="eastAsia" w:ascii="方正黑体_GBK" w:hAnsi="方正黑体_GBK" w:eastAsia="方正黑体_GBK" w:cs="方正黑体_GBK"/>
          <w:color w:val="auto"/>
          <w:sz w:val="32"/>
          <w:szCs w:val="32"/>
          <w:highlight w:val="none"/>
        </w:rPr>
        <w:t>、文化润疆工程深入实施</w:t>
      </w:r>
    </w:p>
    <w:p w14:paraId="632C995B">
      <w:pPr>
        <w:adjustRightInd/>
        <w:snapToGrid/>
        <w:spacing w:line="560" w:lineRule="exact"/>
        <w:ind w:firstLine="560"/>
        <w:rPr>
          <w:rFonts w:ascii="仿宋" w:hAnsi="仿宋" w:cs="仿宋"/>
          <w:color w:val="auto"/>
          <w:szCs w:val="28"/>
          <w:highlight w:val="none"/>
        </w:rPr>
      </w:pPr>
      <w:r>
        <w:rPr>
          <w:rFonts w:hint="eastAsia" w:ascii="仿宋" w:hAnsi="仿宋" w:cs="仿宋"/>
          <w:color w:val="auto"/>
          <w:szCs w:val="28"/>
          <w:highlight w:val="none"/>
        </w:rPr>
        <w:t>坚定党管意识形态、党管宣传、党管媒体不动摇，严格落实意识形态责任制。充分发挥乡村“科普馆”、新时代文明实践所（站）、文化阵地等载体作用，全力推广“我的巴州”志愿服务客户端，围绕理论宣传、文明行动、畜牧养殖、法律服务等方面，多方位、多角度开展好志愿服务活动，组织各类宣讲240余场次，中华民族共同体意识不断增强。认真贯彻落实自治区《关于扎实推进2023年全区公共文化服务活动内容建设的通知》，制定年度品牌活动计划，积极组织开展“石榴花开心向党 巾帼建功新时代”妇女系列活动、“石榴花开·舞动额勒再特乌鲁乡”广场舞暨青年歌手大赛等活动，进一步拉近干群距离；精心筹备完成了额勒再特乌鲁乡第二届山泉旅游文化节活动，以马术培训班、奶制品制作为切入点，打造草垛乐园、天空之境和草原</w:t>
      </w:r>
      <w:r>
        <w:rPr>
          <w:rFonts w:hint="eastAsia" w:ascii="仿宋" w:hAnsi="仿宋" w:cs="仿宋"/>
          <w:color w:val="auto"/>
          <w:szCs w:val="28"/>
          <w:highlight w:val="none"/>
          <w:lang w:eastAsia="zh-CN"/>
        </w:rPr>
        <w:t>风情</w:t>
      </w:r>
      <w:r>
        <w:rPr>
          <w:rFonts w:hint="eastAsia" w:ascii="仿宋" w:hAnsi="仿宋" w:cs="仿宋"/>
          <w:color w:val="auto"/>
          <w:szCs w:val="28"/>
          <w:highlight w:val="none"/>
        </w:rPr>
        <w:t>等景点，以崭新的表现方式，将草原自然风光、群体性体育竞技、民俗文化体验和乡村振兴旅游紧密结合，为广大游客领略体验到圣泉水、湿地敖包、马蹄湾等神奇炫目的自然风光的同时，也为当地文旅融合发展，牧民增收等方面起到积极助推的作用。今年来，我乡投稿石榴云、县融媒体信息90余篇，采用71篇（其中被中央主流媒体采纳21条，自治区主流媒体采纳15条，县级媒体采纳35条）。</w:t>
      </w:r>
    </w:p>
    <w:p w14:paraId="7CF1888F">
      <w:pPr>
        <w:adjustRightInd/>
        <w:snapToGrid/>
        <w:spacing w:line="560" w:lineRule="exact"/>
        <w:rPr>
          <w:rFonts w:hAnsi="宋体" w:eastAsia="仿宋_GB2312" w:cs="宋体"/>
          <w:color w:val="auto"/>
          <w:kern w:val="0"/>
          <w:sz w:val="32"/>
          <w:szCs w:val="32"/>
          <w:highlight w:val="none"/>
        </w:rPr>
      </w:pPr>
      <w:r>
        <w:rPr>
          <w:rFonts w:hint="eastAsia" w:ascii="方正黑体_GBK" w:hAnsi="方正黑体_GBK" w:eastAsia="方正黑体_GBK" w:cs="方正黑体_GBK"/>
          <w:color w:val="auto"/>
          <w:sz w:val="32"/>
          <w:szCs w:val="32"/>
          <w:highlight w:val="none"/>
          <w:lang w:val="en-US" w:eastAsia="zh-CN"/>
        </w:rPr>
        <w:t>4</w:t>
      </w:r>
      <w:r>
        <w:rPr>
          <w:rFonts w:hint="eastAsia" w:ascii="方正黑体_GBK" w:hAnsi="方正黑体_GBK" w:eastAsia="方正黑体_GBK" w:cs="方正黑体_GBK"/>
          <w:color w:val="auto"/>
          <w:sz w:val="32"/>
          <w:szCs w:val="32"/>
          <w:highlight w:val="none"/>
        </w:rPr>
        <w:t>、民生社会事业全面进步。</w:t>
      </w:r>
    </w:p>
    <w:p w14:paraId="34DF1442">
      <w:pPr>
        <w:adjustRightInd/>
        <w:snapToGrid/>
        <w:spacing w:line="560" w:lineRule="exact"/>
        <w:ind w:firstLine="560"/>
        <w:rPr>
          <w:rFonts w:ascii="仿宋" w:hAnsi="仿宋" w:cs="仿宋"/>
          <w:color w:val="auto"/>
          <w:szCs w:val="28"/>
          <w:highlight w:val="none"/>
        </w:rPr>
      </w:pPr>
      <w:r>
        <w:rPr>
          <w:rFonts w:hint="eastAsia" w:ascii="仿宋" w:hAnsi="仿宋" w:cs="仿宋"/>
          <w:color w:val="auto"/>
          <w:szCs w:val="28"/>
          <w:highlight w:val="none"/>
        </w:rPr>
        <w:t>坚持把保障和改善民生作为不懈追求，深入实施惠民工程，着力解决好群众急难愁盼等热点难点问题。持续提升教育教学质量，国家通用语言文字教学实现全覆盖，积极开展2023年农村义务教育阶段适龄少年儿童控辍保学工作，全乡学前适龄儿童“应入尽入”等教育惠民政策全面落实，对因病因残无法正常上学的适龄残疾儿童实行送教上门和特教学校特殊教育。全面落实县域综合医疗体制改革措施，健康保障水平持续提升，乡村两级医疗体系更加完善，家庭医生签约服务成效显著，全民免费健康体检、结核病防治政策有效落实；全民参保计划深入实施，今年以来全乡城乡居民医疗保险参保率达100%，养老保险续保率达100%。持续做好低保、特困供养、残疾人补贴等工作，共计发放低保金130.55万元、高龄津贴1.02万元、残疾人两项补贴14.97万元、临时救助资金4.4万元，各类人员应保尽保、政策红利应发尽发。全面覆盖低保审核制度，坚决做到“应保尽保、应退尽退”，目前全乡共有低保户192户252人，今年以来新申请纳入低保户10户17人，退出低保22户25人。春节及八一建军节等节日慰问县人民武装部官兵、退役军人等136人11000元</w:t>
      </w:r>
      <w:r>
        <w:rPr>
          <w:rFonts w:hint="eastAsia" w:ascii="仿宋" w:hAnsi="仿宋" w:cs="仿宋"/>
          <w:color w:val="auto"/>
          <w:szCs w:val="28"/>
          <w:highlight w:val="none"/>
          <w:lang w:eastAsia="zh-CN"/>
        </w:rPr>
        <w:t>，</w:t>
      </w:r>
      <w:r>
        <w:rPr>
          <w:rFonts w:hint="eastAsia" w:ascii="仿宋" w:hAnsi="仿宋" w:cs="仿宋"/>
          <w:color w:val="auto"/>
          <w:szCs w:val="28"/>
          <w:highlight w:val="none"/>
        </w:rPr>
        <w:t>为符合南疆三地州独生子女条件的192户362人，预计发放计划生育家庭奖励金26.06万元，切实保障辖区群众政策红利应享尽享。</w:t>
      </w:r>
      <w:r>
        <w:rPr>
          <w:rFonts w:ascii="仿宋" w:hAnsi="仿宋" w:cs="仿宋"/>
          <w:color w:val="auto"/>
          <w:szCs w:val="28"/>
          <w:highlight w:val="none"/>
        </w:rPr>
        <w:t xml:space="preserve">  </w:t>
      </w:r>
    </w:p>
    <w:p w14:paraId="0153CA30">
      <w:pPr>
        <w:pBdr>
          <w:top w:val="none" w:color="000000" w:sz="0" w:space="0"/>
          <w:left w:val="none" w:color="000000" w:sz="0" w:space="0"/>
          <w:bottom w:val="none" w:color="000000" w:sz="0" w:space="31"/>
          <w:right w:val="none" w:color="000000" w:sz="0" w:space="11"/>
        </w:pBdr>
        <w:tabs>
          <w:tab w:val="left" w:pos="2410"/>
        </w:tabs>
        <w:autoSpaceDN w:val="0"/>
        <w:rPr>
          <w:rFonts w:hAnsi="宋体" w:eastAsia="仿宋_GB2312" w:cs="宋体"/>
          <w:color w:val="auto"/>
          <w:kern w:val="0"/>
          <w:sz w:val="32"/>
          <w:szCs w:val="32"/>
          <w:highlight w:val="none"/>
        </w:rPr>
      </w:pPr>
      <w:r>
        <w:rPr>
          <w:rFonts w:hint="eastAsia" w:ascii="方正黑体_GBK" w:hAnsi="方正黑体_GBK" w:eastAsia="方正黑体_GBK" w:cs="方正黑体_GBK"/>
          <w:color w:val="auto"/>
          <w:sz w:val="32"/>
          <w:szCs w:val="32"/>
          <w:highlight w:val="none"/>
          <w:lang w:val="en-US" w:eastAsia="zh-CN"/>
        </w:rPr>
        <w:t>5</w:t>
      </w:r>
      <w:r>
        <w:rPr>
          <w:rFonts w:hint="eastAsia" w:ascii="方正黑体_GBK" w:hAnsi="方正黑体_GBK" w:eastAsia="方正黑体_GBK" w:cs="方正黑体_GBK"/>
          <w:color w:val="auto"/>
          <w:sz w:val="32"/>
          <w:szCs w:val="32"/>
          <w:highlight w:val="none"/>
        </w:rPr>
        <w:t>、民族团结局面持续巩固</w:t>
      </w:r>
    </w:p>
    <w:p w14:paraId="5BE0EF01">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hAnsi="宋体" w:eastAsia="仿宋_GB2312" w:cs="宋体"/>
          <w:color w:val="auto"/>
          <w:kern w:val="0"/>
          <w:sz w:val="32"/>
          <w:szCs w:val="32"/>
          <w:highlight w:val="none"/>
        </w:rPr>
      </w:pPr>
      <w:r>
        <w:rPr>
          <w:rFonts w:hint="eastAsia" w:ascii="仿宋" w:hAnsi="仿宋" w:cs="仿宋"/>
          <w:color w:val="auto"/>
          <w:szCs w:val="28"/>
          <w:highlight w:val="none"/>
        </w:rPr>
        <w:t>坚持以铸牢中华民族共同体意识为主线，全面贯彻落实党的民族政策，“民族团结一家亲”和民族团结联谊活动持续深化，全乡83名干部职工结对认亲，“我和亲戚游家乡 共叙成就感党恩”“小手拉大手”“我为亲戚买保险·有形有效有感铸牢中华民族共同体意识”等融情活动积极开展，全乡干部为结亲群众购买保险共计1.66万余元，“五个认同”的情感纽带更加牢固。广泛开展学习国家通用语言文字活动，采用日常生活用语文字、集中教学和个人辅导等方式开展学习培训25场次，受益1650人次，为谱写新时代语言文字事业发展新篇章。持续巩固“全国民族团结进步示范州”创建成果，研究制定创建民族团结进步示范单位活动实施方案，积极创建额勒再特乌鲁村、古温吐勒尕村自治州级民族团结进步示范单位，民族团结基石更加坚实。</w:t>
      </w:r>
    </w:p>
    <w:p w14:paraId="082B3440">
      <w:pPr>
        <w:pBdr>
          <w:top w:val="none" w:color="000000" w:sz="0" w:space="0"/>
          <w:left w:val="none" w:color="000000" w:sz="0" w:space="0"/>
          <w:bottom w:val="none" w:color="000000" w:sz="0" w:space="31"/>
          <w:right w:val="none" w:color="000000" w:sz="0" w:space="11"/>
        </w:pBdr>
        <w:tabs>
          <w:tab w:val="left" w:pos="2410"/>
        </w:tabs>
        <w:autoSpaceDN w:val="0"/>
        <w:ind w:firstLine="602"/>
        <w:rPr>
          <w:rFonts w:hint="eastAsia" w:hAnsi="宋体" w:eastAsia="仿宋_GB2312" w:cs="宋体"/>
          <w:color w:val="auto"/>
          <w:kern w:val="0"/>
          <w:sz w:val="32"/>
          <w:szCs w:val="32"/>
          <w:highlight w:val="none"/>
        </w:rPr>
      </w:pPr>
      <w:r>
        <w:rPr>
          <w:rFonts w:hint="eastAsia"/>
          <w:b/>
          <w:bCs/>
          <w:color w:val="auto"/>
          <w:sz w:val="30"/>
          <w:szCs w:val="32"/>
          <w:highlight w:val="none"/>
        </w:rPr>
        <w:t>（三）部门单位整体预算规模及安排情况</w:t>
      </w:r>
    </w:p>
    <w:p w14:paraId="6F9912D7">
      <w:pPr>
        <w:pBdr>
          <w:top w:val="none" w:color="000000" w:sz="0" w:space="0"/>
          <w:left w:val="none" w:color="000000" w:sz="0" w:space="0"/>
          <w:bottom w:val="none" w:color="000000" w:sz="0" w:space="31"/>
          <w:right w:val="none" w:color="000000" w:sz="0" w:space="11"/>
        </w:pBdr>
        <w:tabs>
          <w:tab w:val="left" w:pos="2410"/>
        </w:tabs>
        <w:autoSpaceDN w:val="0"/>
        <w:ind w:firstLine="602"/>
        <w:rPr>
          <w:rFonts w:hint="eastAsia" w:hAnsi="宋体" w:eastAsia="仿宋_GB2312" w:cs="宋体"/>
          <w:color w:val="auto"/>
          <w:kern w:val="0"/>
          <w:sz w:val="32"/>
          <w:szCs w:val="32"/>
          <w:highlight w:val="none"/>
        </w:rPr>
      </w:pPr>
      <w:r>
        <w:rPr>
          <w:rFonts w:hint="eastAsia"/>
          <w:b/>
          <w:bCs/>
          <w:color w:val="auto"/>
          <w:sz w:val="30"/>
          <w:szCs w:val="32"/>
          <w:highlight w:val="none"/>
        </w:rPr>
        <w:t>1.预算执行情况</w:t>
      </w:r>
    </w:p>
    <w:p w14:paraId="3B824B85">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hAnsi="宋体" w:eastAsia="仿宋_GB2312" w:cs="宋体"/>
          <w:color w:val="auto"/>
          <w:kern w:val="0"/>
          <w:sz w:val="32"/>
          <w:szCs w:val="32"/>
          <w:highlight w:val="none"/>
        </w:rPr>
      </w:pPr>
      <w:r>
        <w:rPr>
          <w:rFonts w:hint="eastAsia" w:ascii="Times New Roman" w:hAnsi="Times New Roman" w:cs="Times New Roman"/>
          <w:bCs/>
          <w:color w:val="auto"/>
          <w:highlight w:val="none"/>
        </w:rPr>
        <w:t>（1）年初预算执行情况</w:t>
      </w:r>
    </w:p>
    <w:p w14:paraId="286517EE">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我单位年初预算数为1138.55万元，实际预算执行数</w:t>
      </w:r>
      <w:r>
        <w:rPr>
          <w:rFonts w:hint="eastAsia" w:ascii="Times New Roman" w:hAnsi="Times New Roman" w:cs="Times New Roman"/>
          <w:bCs/>
          <w:color w:val="auto"/>
          <w:highlight w:val="none"/>
          <w:lang w:val="en-US" w:eastAsia="zh-CN"/>
        </w:rPr>
        <w:t>1097.32</w:t>
      </w:r>
      <w:r>
        <w:rPr>
          <w:rFonts w:hint="eastAsia" w:ascii="Times New Roman" w:hAnsi="Times New Roman" w:cs="Times New Roman"/>
          <w:bCs/>
          <w:color w:val="auto"/>
          <w:highlight w:val="none"/>
        </w:rPr>
        <w:t>万元，预算执行率为96.</w:t>
      </w:r>
      <w:r>
        <w:rPr>
          <w:rFonts w:hint="eastAsia" w:ascii="Times New Roman" w:hAnsi="Times New Roman" w:cs="Times New Roman"/>
          <w:bCs/>
          <w:color w:val="auto"/>
          <w:highlight w:val="none"/>
          <w:lang w:val="en-US" w:eastAsia="zh-CN"/>
        </w:rPr>
        <w:t>38</w:t>
      </w:r>
      <w:r>
        <w:rPr>
          <w:rFonts w:hint="eastAsia" w:ascii="Times New Roman" w:hAnsi="Times New Roman" w:cs="Times New Roman"/>
          <w:bCs/>
          <w:color w:val="auto"/>
          <w:highlight w:val="none"/>
        </w:rPr>
        <w:t>%。</w:t>
      </w:r>
    </w:p>
    <w:p w14:paraId="3356E122">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（2）全年预算执行情况</w:t>
      </w:r>
    </w:p>
    <w:p w14:paraId="4633A8DD">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全年预算数为1100.85万元，全年实际支出资金1100.85万元，预算执行率为</w:t>
      </w:r>
      <w:r>
        <w:rPr>
          <w:rFonts w:hint="eastAsia" w:ascii="Times New Roman" w:hAnsi="Times New Roman" w:cs="Times New Roman"/>
          <w:bCs/>
          <w:color w:val="auto"/>
          <w:highlight w:val="none"/>
          <w:lang w:val="en-US" w:eastAsia="zh-CN"/>
        </w:rPr>
        <w:t>100</w:t>
      </w:r>
      <w:r>
        <w:rPr>
          <w:rFonts w:hint="eastAsia" w:ascii="Times New Roman" w:hAnsi="Times New Roman" w:cs="Times New Roman"/>
          <w:bCs/>
          <w:color w:val="auto"/>
          <w:highlight w:val="none"/>
        </w:rPr>
        <w:t>%。</w:t>
      </w:r>
    </w:p>
    <w:p w14:paraId="3751E0D4">
      <w:pPr>
        <w:pBdr>
          <w:top w:val="none" w:color="000000" w:sz="0" w:space="0"/>
          <w:left w:val="none" w:color="000000" w:sz="0" w:space="0"/>
          <w:bottom w:val="none" w:color="000000" w:sz="0" w:space="31"/>
          <w:right w:val="none" w:color="000000" w:sz="0" w:space="11"/>
        </w:pBdr>
        <w:tabs>
          <w:tab w:val="left" w:pos="2410"/>
        </w:tabs>
        <w:autoSpaceDN w:val="0"/>
        <w:ind w:firstLine="602"/>
        <w:rPr>
          <w:rFonts w:hint="eastAsia"/>
          <w:b/>
          <w:bCs/>
          <w:color w:val="auto"/>
          <w:sz w:val="30"/>
          <w:szCs w:val="32"/>
          <w:highlight w:val="none"/>
        </w:rPr>
      </w:pPr>
      <w:r>
        <w:rPr>
          <w:rFonts w:hint="eastAsia"/>
          <w:b/>
          <w:bCs/>
          <w:color w:val="auto"/>
          <w:sz w:val="30"/>
          <w:szCs w:val="32"/>
          <w:highlight w:val="none"/>
        </w:rPr>
        <w:t>2.预算调整（追加减）情况</w:t>
      </w:r>
    </w:p>
    <w:p w14:paraId="2E9C7723">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cs="Times New Roman"/>
          <w:bCs/>
          <w:color w:val="auto"/>
          <w:highlight w:val="none"/>
        </w:rPr>
      </w:pPr>
      <w:r>
        <w:rPr>
          <w:rFonts w:hint="eastAsia" w:ascii="Times New Roman" w:hAnsi="Times New Roman" w:cs="Times New Roman"/>
          <w:bCs/>
          <w:color w:val="auto"/>
          <w:highlight w:val="none"/>
        </w:rPr>
        <w:t>我单位年初批复预算数1138.55万元，年中调整数37.7万元，调整后全年预算数1100.85万元，预算调整率3.31%。（预算调整率=调整数/年初预算数*100%=3.31%。</w:t>
      </w:r>
      <w:r>
        <w:rPr>
          <w:rFonts w:hint="eastAsia" w:ascii="Times New Roman" w:hAnsi="Times New Roman" w:cs="Times New Roman"/>
          <w:bCs/>
          <w:color w:val="auto"/>
          <w:highlight w:val="none"/>
          <w:lang w:eastAsia="zh-CN"/>
        </w:rPr>
        <w:t>）</w:t>
      </w:r>
    </w:p>
    <w:p w14:paraId="5D19960D">
      <w:pPr>
        <w:pStyle w:val="2"/>
        <w:ind w:firstLine="602"/>
        <w:rPr>
          <w:color w:val="auto"/>
          <w:highlight w:val="none"/>
        </w:rPr>
      </w:pPr>
      <w:r>
        <w:rPr>
          <w:color w:val="auto"/>
          <w:highlight w:val="none"/>
        </w:rPr>
        <w:t>3.资金使用主要内容、涉及的范围</w:t>
      </w:r>
    </w:p>
    <w:p w14:paraId="3235DAF0">
      <w:pPr>
        <w:ind w:firstLine="560"/>
        <w:rPr>
          <w:color w:val="auto"/>
          <w:highlight w:val="none"/>
        </w:rPr>
      </w:pPr>
      <w:r>
        <w:rPr>
          <w:color w:val="auto"/>
          <w:highlight w:val="none"/>
        </w:rPr>
        <w:t>我单位2023年度部门整体支出为</w:t>
      </w:r>
      <w:r>
        <w:rPr>
          <w:rFonts w:hint="eastAsia" w:ascii="Times New Roman" w:hAnsi="Times New Roman" w:cs="Times New Roman"/>
          <w:bCs/>
          <w:color w:val="auto"/>
          <w:highlight w:val="none"/>
        </w:rPr>
        <w:t>1100.85</w:t>
      </w:r>
      <w:r>
        <w:rPr>
          <w:color w:val="auto"/>
          <w:highlight w:val="none"/>
        </w:rPr>
        <w:t>万元，其中：基本支出</w:t>
      </w:r>
      <w:r>
        <w:rPr>
          <w:rFonts w:hint="eastAsia"/>
          <w:color w:val="auto"/>
          <w:highlight w:val="none"/>
          <w:lang w:val="en-US" w:eastAsia="zh-CN"/>
        </w:rPr>
        <w:t>991.15</w:t>
      </w:r>
      <w:r>
        <w:rPr>
          <w:color w:val="auto"/>
          <w:highlight w:val="none"/>
        </w:rPr>
        <w:t>万元，资金的使用方向为我单位机关人员经费支出</w:t>
      </w:r>
      <w:r>
        <w:rPr>
          <w:rFonts w:hint="eastAsia"/>
          <w:color w:val="auto"/>
          <w:highlight w:val="none"/>
        </w:rPr>
        <w:t>964.49</w:t>
      </w:r>
      <w:r>
        <w:rPr>
          <w:color w:val="auto"/>
          <w:highlight w:val="none"/>
        </w:rPr>
        <w:t>万元</w:t>
      </w:r>
      <w:r>
        <w:rPr>
          <w:rFonts w:hint="eastAsia"/>
          <w:color w:val="auto"/>
          <w:highlight w:val="none"/>
          <w:lang w:eastAsia="zh-CN"/>
        </w:rPr>
        <w:t>，</w:t>
      </w:r>
      <w:r>
        <w:rPr>
          <w:color w:val="auto"/>
          <w:highlight w:val="none"/>
        </w:rPr>
        <w:t>日常公用经费支出</w:t>
      </w:r>
      <w:r>
        <w:rPr>
          <w:rFonts w:hint="eastAsia"/>
          <w:color w:val="auto"/>
          <w:highlight w:val="none"/>
          <w:lang w:val="en-US" w:eastAsia="zh-CN"/>
        </w:rPr>
        <w:t>26.66</w:t>
      </w:r>
      <w:r>
        <w:rPr>
          <w:color w:val="auto"/>
          <w:highlight w:val="none"/>
        </w:rPr>
        <w:t>万元</w:t>
      </w:r>
      <w:r>
        <w:rPr>
          <w:rFonts w:hint="eastAsia"/>
          <w:color w:val="auto"/>
          <w:highlight w:val="none"/>
          <w:lang w:eastAsia="zh-CN"/>
        </w:rPr>
        <w:t>，</w:t>
      </w:r>
      <w:r>
        <w:rPr>
          <w:rFonts w:hint="eastAsia"/>
          <w:color w:val="auto"/>
          <w:highlight w:val="none"/>
        </w:rPr>
        <w:t>主要用于保障人员工资及人员医保、社保、住房公积金等缴费，单位办公用品购买及车辆燃油费及维修等方面支出。</w:t>
      </w:r>
    </w:p>
    <w:p w14:paraId="7BB5F657">
      <w:pPr>
        <w:ind w:firstLine="560"/>
        <w:rPr>
          <w:color w:val="auto"/>
          <w:highlight w:val="none"/>
        </w:rPr>
      </w:pPr>
      <w:r>
        <w:rPr>
          <w:color w:val="auto"/>
          <w:highlight w:val="none"/>
        </w:rPr>
        <w:t>项目支出共计</w:t>
      </w:r>
      <w:r>
        <w:rPr>
          <w:rFonts w:hint="eastAsia"/>
          <w:color w:val="auto"/>
          <w:highlight w:val="none"/>
          <w:lang w:val="en-US" w:eastAsia="zh-CN"/>
        </w:rPr>
        <w:t>109.7</w:t>
      </w:r>
      <w:r>
        <w:rPr>
          <w:color w:val="auto"/>
          <w:highlight w:val="none"/>
        </w:rPr>
        <w:t>万元，主要用于</w:t>
      </w:r>
      <w:r>
        <w:rPr>
          <w:rFonts w:hint="eastAsia"/>
          <w:color w:val="auto"/>
          <w:highlight w:val="none"/>
        </w:rPr>
        <w:t>纪检监察事务</w:t>
      </w:r>
      <w:r>
        <w:rPr>
          <w:rFonts w:hint="eastAsia"/>
          <w:color w:val="auto"/>
          <w:highlight w:val="none"/>
          <w:lang w:val="en-US" w:eastAsia="zh-CN"/>
        </w:rPr>
        <w:t>支出，文化旅游体育与传媒支出，2023年农村人居环境整治项目支出，2023年额勒再特乌鲁乡安全饮茶项目，2023年村社区经费</w:t>
      </w:r>
      <w:r>
        <w:rPr>
          <w:color w:val="auto"/>
          <w:highlight w:val="none"/>
        </w:rPr>
        <w:t>项目支出</w:t>
      </w:r>
      <w:r>
        <w:rPr>
          <w:rFonts w:hint="eastAsia"/>
          <w:color w:val="auto"/>
          <w:highlight w:val="none"/>
          <w:lang w:val="en-US" w:eastAsia="zh-CN"/>
        </w:rPr>
        <w:t>等</w:t>
      </w:r>
      <w:r>
        <w:rPr>
          <w:color w:val="auto"/>
          <w:highlight w:val="none"/>
        </w:rPr>
        <w:t>。</w:t>
      </w:r>
    </w:p>
    <w:p w14:paraId="63ED34D8">
      <w:pPr>
        <w:pStyle w:val="3"/>
        <w:rPr>
          <w:color w:val="auto"/>
          <w:highlight w:val="none"/>
        </w:rPr>
      </w:pPr>
      <w:bookmarkStart w:id="1" w:name="_Toc32535_WPSOffice_Level1"/>
      <w:r>
        <w:rPr>
          <w:rFonts w:hint="eastAsia"/>
          <w:color w:val="auto"/>
          <w:highlight w:val="none"/>
        </w:rPr>
        <w:t>二、部门单位整体支出管理及使用情况</w:t>
      </w:r>
      <w:bookmarkEnd w:id="1"/>
    </w:p>
    <w:p w14:paraId="2D8CE3F4">
      <w:pPr>
        <w:pStyle w:val="4"/>
        <w:spacing w:before="156"/>
        <w:ind w:firstLine="643"/>
        <w:rPr>
          <w:color w:val="auto"/>
          <w:highlight w:val="none"/>
        </w:rPr>
      </w:pPr>
      <w:r>
        <w:rPr>
          <w:rFonts w:hint="eastAsia"/>
          <w:color w:val="auto"/>
          <w:highlight w:val="none"/>
        </w:rPr>
        <w:t>（一）基本支出和使用情况</w:t>
      </w:r>
    </w:p>
    <w:p w14:paraId="2FB07BD5">
      <w:pPr>
        <w:ind w:firstLine="560"/>
        <w:rPr>
          <w:color w:val="auto"/>
          <w:highlight w:val="none"/>
        </w:rPr>
      </w:pPr>
      <w:r>
        <w:rPr>
          <w:rFonts w:hint="eastAsia"/>
          <w:color w:val="auto"/>
          <w:highlight w:val="none"/>
        </w:rPr>
        <w:t>基本支出预算是指为保障部门正常运转、完成日常工作任务而制定的本单位人员薪酬福利支出计划和日常办公经费支出计划，可分为人员经费支出和公用经费支出。2023年我单位基本支出全年预算总额</w:t>
      </w:r>
      <w:r>
        <w:rPr>
          <w:rFonts w:hint="eastAsia"/>
          <w:color w:val="auto"/>
          <w:highlight w:val="none"/>
          <w:lang w:val="en-US" w:eastAsia="zh-CN"/>
        </w:rPr>
        <w:t>991.15</w:t>
      </w:r>
      <w:r>
        <w:rPr>
          <w:rFonts w:hint="eastAsia"/>
          <w:color w:val="auto"/>
          <w:highlight w:val="none"/>
        </w:rPr>
        <w:t>万元，全年实际支出</w:t>
      </w:r>
      <w:r>
        <w:rPr>
          <w:rFonts w:hint="eastAsia"/>
          <w:color w:val="auto"/>
          <w:highlight w:val="none"/>
          <w:lang w:val="en-US" w:eastAsia="zh-CN"/>
        </w:rPr>
        <w:t>991.15</w:t>
      </w:r>
      <w:r>
        <w:rPr>
          <w:rFonts w:hint="eastAsia"/>
          <w:color w:val="auto"/>
          <w:highlight w:val="none"/>
        </w:rPr>
        <w:t>万元，资金执行率100%。基本支出严格按照财务管理制度执行，其中：</w:t>
      </w:r>
    </w:p>
    <w:p w14:paraId="6BE73810">
      <w:pPr>
        <w:ind w:firstLine="560"/>
        <w:rPr>
          <w:color w:val="auto"/>
          <w:highlight w:val="none"/>
        </w:rPr>
      </w:pPr>
      <w:r>
        <w:rPr>
          <w:rFonts w:hint="eastAsia"/>
          <w:color w:val="auto"/>
          <w:highlight w:val="none"/>
        </w:rPr>
        <w:t>人员经费支出964.49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4C519F7C">
      <w:pPr>
        <w:ind w:firstLine="560"/>
        <w:rPr>
          <w:color w:val="auto"/>
          <w:highlight w:val="none"/>
        </w:rPr>
      </w:pPr>
      <w:r>
        <w:rPr>
          <w:rFonts w:hint="eastAsia"/>
          <w:color w:val="auto"/>
          <w:highlight w:val="none"/>
        </w:rPr>
        <w:t>公用经费支出</w:t>
      </w:r>
      <w:r>
        <w:rPr>
          <w:rFonts w:hint="eastAsia"/>
          <w:color w:val="auto"/>
          <w:highlight w:val="none"/>
          <w:lang w:val="en-US" w:eastAsia="zh-CN"/>
        </w:rPr>
        <w:t>26.66</w:t>
      </w:r>
      <w:r>
        <w:rPr>
          <w:rFonts w:hint="eastAsia"/>
          <w:color w:val="auto"/>
          <w:highlight w:val="none"/>
        </w:rPr>
        <w:t>万元，主要包括：办公费、印刷费、水费、电费、邮电费、取暖费、物业管理费、差旅费、培训费、公务接待费、工会经费、福利费、公务用车运行维护费、其他交通费用、其他商品和服务支出。</w:t>
      </w:r>
    </w:p>
    <w:p w14:paraId="22B30E10">
      <w:pPr>
        <w:pStyle w:val="4"/>
        <w:spacing w:before="156"/>
        <w:ind w:firstLine="643"/>
        <w:rPr>
          <w:color w:val="auto"/>
          <w:highlight w:val="none"/>
        </w:rPr>
      </w:pPr>
      <w:r>
        <w:rPr>
          <w:rFonts w:hint="eastAsia"/>
          <w:color w:val="auto"/>
          <w:highlight w:val="none"/>
        </w:rPr>
        <w:t>（二）政策、项目支出和使用情况</w:t>
      </w:r>
    </w:p>
    <w:p w14:paraId="06162467">
      <w:pPr>
        <w:pStyle w:val="2"/>
        <w:ind w:firstLine="602"/>
        <w:rPr>
          <w:color w:val="auto"/>
          <w:highlight w:val="none"/>
        </w:rPr>
      </w:pPr>
      <w:r>
        <w:rPr>
          <w:rFonts w:hint="eastAsia"/>
          <w:color w:val="auto"/>
          <w:highlight w:val="none"/>
        </w:rPr>
        <w:t>1.政策、项目支出的投入情况分析</w:t>
      </w:r>
    </w:p>
    <w:p w14:paraId="4AE2349F">
      <w:pPr>
        <w:ind w:firstLine="560"/>
        <w:rPr>
          <w:color w:val="auto"/>
          <w:highlight w:val="none"/>
        </w:rPr>
      </w:pPr>
      <w:r>
        <w:rPr>
          <w:rFonts w:hint="eastAsia"/>
          <w:color w:val="auto"/>
          <w:highlight w:val="none"/>
        </w:rPr>
        <w:t>我单位2023年度共安排项目支出预算</w:t>
      </w:r>
      <w:r>
        <w:rPr>
          <w:rFonts w:hint="eastAsia"/>
          <w:color w:val="auto"/>
          <w:highlight w:val="none"/>
          <w:lang w:val="en-US" w:eastAsia="zh-CN"/>
        </w:rPr>
        <w:t>109.7</w:t>
      </w:r>
      <w:r>
        <w:rPr>
          <w:rFonts w:hint="eastAsia"/>
          <w:color w:val="auto"/>
          <w:highlight w:val="none"/>
        </w:rPr>
        <w:t>万元，其中：上级专项资金</w:t>
      </w:r>
      <w:r>
        <w:rPr>
          <w:rFonts w:hint="eastAsia"/>
          <w:color w:val="auto"/>
          <w:highlight w:val="none"/>
          <w:lang w:val="en-US" w:eastAsia="zh-CN"/>
        </w:rPr>
        <w:t>69.48</w:t>
      </w:r>
      <w:r>
        <w:rPr>
          <w:rFonts w:hint="eastAsia"/>
          <w:color w:val="auto"/>
          <w:highlight w:val="none"/>
        </w:rPr>
        <w:t>万元，本级财政资金</w:t>
      </w:r>
      <w:r>
        <w:rPr>
          <w:rFonts w:hint="eastAsia"/>
          <w:color w:val="auto"/>
          <w:highlight w:val="none"/>
          <w:lang w:val="en-US" w:eastAsia="zh-CN"/>
        </w:rPr>
        <w:t>40.22</w:t>
      </w:r>
      <w:r>
        <w:rPr>
          <w:rFonts w:hint="eastAsia"/>
          <w:color w:val="auto"/>
          <w:highlight w:val="none"/>
        </w:rPr>
        <w:t>万元。</w:t>
      </w:r>
    </w:p>
    <w:p w14:paraId="50A31A7B">
      <w:pPr>
        <w:pStyle w:val="2"/>
        <w:ind w:firstLine="602"/>
        <w:rPr>
          <w:color w:val="auto"/>
          <w:highlight w:val="none"/>
        </w:rPr>
      </w:pPr>
      <w:r>
        <w:rPr>
          <w:rFonts w:hint="eastAsia"/>
          <w:color w:val="auto"/>
          <w:highlight w:val="none"/>
        </w:rPr>
        <w:t>2.政策、项目支出管理情况</w:t>
      </w:r>
    </w:p>
    <w:p w14:paraId="6088425B">
      <w:pPr>
        <w:ind w:firstLine="560"/>
        <w:rPr>
          <w:rFonts w:hint="default" w:eastAsia="仿宋"/>
          <w:color w:val="auto"/>
          <w:highlight w:val="none"/>
          <w:lang w:val="en-US" w:eastAsia="zh-CN"/>
        </w:rPr>
      </w:pPr>
      <w:r>
        <w:rPr>
          <w:rFonts w:hint="eastAsia"/>
          <w:color w:val="auto"/>
          <w:highlight w:val="none"/>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color w:val="auto"/>
          <w:highlight w:val="none"/>
          <w:lang w:eastAsia="zh-CN"/>
        </w:rPr>
        <w:t>专账</w:t>
      </w:r>
      <w:r>
        <w:rPr>
          <w:rFonts w:hint="eastAsia"/>
          <w:color w:val="auto"/>
          <w:highlight w:val="none"/>
        </w:rPr>
        <w:t>，严格实行专款专用，保证资金及时足额用到项目中。2023年上级财政下达我单位专项资金</w:t>
      </w:r>
      <w:r>
        <w:rPr>
          <w:rFonts w:hint="eastAsia"/>
          <w:color w:val="auto"/>
          <w:highlight w:val="none"/>
          <w:lang w:val="en-US" w:eastAsia="zh-CN"/>
        </w:rPr>
        <w:t>69.48</w:t>
      </w:r>
      <w:r>
        <w:rPr>
          <w:rFonts w:hint="eastAsia"/>
          <w:color w:val="auto"/>
          <w:highlight w:val="none"/>
        </w:rPr>
        <w:t>万元，其中</w:t>
      </w:r>
      <w:r>
        <w:rPr>
          <w:color w:val="auto"/>
          <w:highlight w:val="none"/>
        </w:rPr>
        <w:t>2023年和静县额勒再特乌鲁乡乡村</w:t>
      </w:r>
      <w:r>
        <w:rPr>
          <w:rFonts w:hint="eastAsia"/>
          <w:color w:val="auto"/>
          <w:highlight w:val="none"/>
        </w:rPr>
        <w:t>人居环境整治项目59万元</w:t>
      </w:r>
      <w:r>
        <w:rPr>
          <w:color w:val="auto"/>
          <w:highlight w:val="none"/>
        </w:rPr>
        <w:t>、2023年和静县额勒再特乌鲁乡</w:t>
      </w:r>
      <w:r>
        <w:rPr>
          <w:rFonts w:hint="eastAsia"/>
          <w:color w:val="auto"/>
          <w:highlight w:val="none"/>
        </w:rPr>
        <w:t>饮茶项目5万元</w:t>
      </w:r>
      <w:r>
        <w:rPr>
          <w:rFonts w:hint="eastAsia"/>
          <w:color w:val="auto"/>
          <w:highlight w:val="none"/>
          <w:lang w:eastAsia="zh-CN"/>
        </w:rPr>
        <w:t>，2023年额勒再特乌鲁乡自治区美术馆、公共图书馆文化馆免费开放补助资金</w:t>
      </w:r>
      <w:r>
        <w:rPr>
          <w:rFonts w:hint="eastAsia"/>
          <w:color w:val="auto"/>
          <w:highlight w:val="none"/>
          <w:lang w:val="en-US" w:eastAsia="zh-CN"/>
        </w:rPr>
        <w:t>3.98万元，2023年额勒再特乌鲁乡中央政法纪检监察支付资金1.5万元。全部通过财政国库集中支付方式直接拨给项目实施单位。</w:t>
      </w:r>
    </w:p>
    <w:p w14:paraId="6210768E">
      <w:pPr>
        <w:pageBreakBefore w:val="0"/>
        <w:widowControl w:val="0"/>
        <w:kinsoku/>
        <w:wordWrap/>
        <w:overflowPunct/>
        <w:topLinePunct w:val="0"/>
        <w:autoSpaceDE/>
        <w:autoSpaceDN/>
        <w:bidi w:val="0"/>
        <w:adjustRightInd w:val="0"/>
        <w:snapToGrid w:val="0"/>
        <w:spacing w:beforeLines="0" w:afterLines="0" w:line="360" w:lineRule="auto"/>
        <w:ind w:firstLine="560" w:firstLineChars="200"/>
        <w:jc w:val="left"/>
        <w:textAlignment w:val="auto"/>
        <w:rPr>
          <w:rFonts w:hint="eastAsia"/>
          <w:color w:val="auto"/>
          <w:highlight w:val="none"/>
          <w:lang w:val="en-US" w:eastAsia="zh-CN"/>
        </w:rPr>
      </w:pPr>
      <w:r>
        <w:rPr>
          <w:rFonts w:hint="eastAsia"/>
          <w:color w:val="auto"/>
          <w:highlight w:val="none"/>
        </w:rPr>
        <w:t>（2）</w:t>
      </w:r>
      <w:r>
        <w:rPr>
          <w:rFonts w:hint="eastAsia"/>
          <w:color w:val="auto"/>
          <w:highlight w:val="none"/>
          <w:lang w:val="en-US" w:eastAsia="zh-CN"/>
        </w:rPr>
        <w:t>项目实施组织管理情况。我单位项目实施和资金使用分配坚持集体决策。对人居环境整治项目制订工作方案，明确时间节点，开展项目规划设计、部署工作，认真落实项目任务。工作中突出重点，高标准规划、精细设计，抓好财政改革，进一步完善财政体制一是完成了乡财政体制建议方案，完善了我乡财务各项规章制度，进一步规范财政资金的使用，组织全乡机关、村、社区干部开展了财政相关法规、制度及2023年村</w:t>
      </w:r>
      <w:bookmarkStart w:id="6" w:name="_GoBack"/>
      <w:bookmarkEnd w:id="6"/>
      <w:r>
        <w:rPr>
          <w:rFonts w:hint="eastAsia"/>
          <w:color w:val="auto"/>
          <w:highlight w:val="none"/>
          <w:lang w:val="en-US" w:eastAsia="zh-CN"/>
        </w:rPr>
        <w:t>资金专题培训工作。二是加大内部监督力度，对我乡四个村2023年1月-2023年10月财务收支及村级公共服务专项资金和2023年涉农资金进行监督检查。2023共计发放低保金130.55万元、高龄津贴1.02万元、残疾人两项补贴14.97万元、临时救助资金4.4万元，各类人员应保尽保、政策红利应发尽发；2023年1-10月基本支出：中央扶贫项目资金64万元；工资福利支出551.88万元；对个人和家庭的补助412.61万元；商品和服务支出26.66万元；中央纪检经费1.5万元；文化旅游支出3.98万元；</w:t>
      </w:r>
    </w:p>
    <w:p w14:paraId="7131B10A">
      <w:pPr>
        <w:pStyle w:val="2"/>
        <w:ind w:firstLine="602"/>
        <w:rPr>
          <w:color w:val="auto"/>
          <w:highlight w:val="none"/>
        </w:rPr>
      </w:pPr>
      <w:r>
        <w:rPr>
          <w:rFonts w:hint="eastAsia"/>
          <w:color w:val="auto"/>
          <w:highlight w:val="none"/>
        </w:rPr>
        <w:t>3.政策、项目支出总体实际使用情况</w:t>
      </w:r>
    </w:p>
    <w:p w14:paraId="030EF767">
      <w:pPr>
        <w:ind w:firstLine="560"/>
        <w:rPr>
          <w:color w:val="auto"/>
          <w:highlight w:val="none"/>
        </w:rPr>
      </w:pPr>
      <w:r>
        <w:rPr>
          <w:rFonts w:hint="eastAsia"/>
          <w:color w:val="auto"/>
          <w:highlight w:val="none"/>
        </w:rPr>
        <w:t>我单位2023年度安排项目支出资金</w:t>
      </w:r>
      <w:r>
        <w:rPr>
          <w:rFonts w:hint="eastAsia"/>
          <w:color w:val="auto"/>
          <w:highlight w:val="none"/>
          <w:lang w:val="en-US" w:eastAsia="zh-CN"/>
        </w:rPr>
        <w:t>109.7</w:t>
      </w:r>
      <w:r>
        <w:rPr>
          <w:rFonts w:hint="eastAsia"/>
          <w:color w:val="auto"/>
          <w:highlight w:val="none"/>
        </w:rPr>
        <w:t>万元，实际支出</w:t>
      </w:r>
      <w:r>
        <w:rPr>
          <w:rFonts w:hint="eastAsia"/>
          <w:color w:val="auto"/>
          <w:highlight w:val="none"/>
          <w:lang w:val="en-US" w:eastAsia="zh-CN"/>
        </w:rPr>
        <w:t>109.7</w:t>
      </w:r>
      <w:r>
        <w:rPr>
          <w:rFonts w:hint="eastAsia"/>
          <w:color w:val="auto"/>
          <w:highlight w:val="none"/>
        </w:rPr>
        <w:t>万元</w:t>
      </w:r>
      <w:r>
        <w:rPr>
          <w:rFonts w:hint="eastAsia"/>
          <w:color w:val="auto"/>
          <w:highlight w:val="none"/>
          <w:lang w:eastAsia="zh-CN"/>
        </w:rPr>
        <w:t>，</w:t>
      </w:r>
      <w:r>
        <w:rPr>
          <w:rFonts w:hint="eastAsia"/>
          <w:color w:val="auto"/>
          <w:highlight w:val="none"/>
        </w:rPr>
        <w:t>其中：上级专项资金支出</w:t>
      </w:r>
      <w:r>
        <w:rPr>
          <w:rFonts w:hint="eastAsia"/>
          <w:color w:val="auto"/>
          <w:highlight w:val="none"/>
          <w:lang w:val="en-US" w:eastAsia="zh-CN"/>
        </w:rPr>
        <w:t>69.48</w:t>
      </w:r>
      <w:r>
        <w:rPr>
          <w:rFonts w:hint="eastAsia"/>
          <w:color w:val="auto"/>
          <w:highlight w:val="none"/>
        </w:rPr>
        <w:t>万元，本级财政安排项目资金支出</w:t>
      </w:r>
      <w:r>
        <w:rPr>
          <w:rFonts w:hint="eastAsia"/>
          <w:color w:val="auto"/>
          <w:highlight w:val="none"/>
          <w:lang w:val="en-US" w:eastAsia="zh-CN"/>
        </w:rPr>
        <w:t>40.22</w:t>
      </w:r>
      <w:r>
        <w:rPr>
          <w:rFonts w:hint="eastAsia"/>
          <w:color w:val="auto"/>
          <w:highlight w:val="none"/>
        </w:rPr>
        <w:t>万元，项目预算资金执行率100%。</w:t>
      </w:r>
      <w:bookmarkStart w:id="2" w:name="_Toc1734_WPSOffice_Level1"/>
    </w:p>
    <w:p w14:paraId="16102CD5">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color w:val="auto"/>
          <w:highlight w:val="none"/>
        </w:rPr>
      </w:pPr>
      <w:r>
        <w:rPr>
          <w:color w:val="auto"/>
          <w:highlight w:val="none"/>
        </w:rPr>
        <w:t>我单位2023年度支出主要内容</w:t>
      </w:r>
      <w:r>
        <w:rPr>
          <w:rFonts w:hint="eastAsia"/>
          <w:color w:val="auto"/>
          <w:highlight w:val="none"/>
          <w:lang w:eastAsia="zh-CN"/>
        </w:rPr>
        <w:t>（</w:t>
      </w:r>
      <w:r>
        <w:rPr>
          <w:color w:val="auto"/>
          <w:highlight w:val="none"/>
        </w:rPr>
        <w:t>按功能分类</w:t>
      </w:r>
      <w:r>
        <w:rPr>
          <w:rFonts w:hint="eastAsia"/>
          <w:color w:val="auto"/>
          <w:highlight w:val="none"/>
          <w:lang w:eastAsia="zh-CN"/>
        </w:rPr>
        <w:t>）：</w:t>
      </w:r>
      <w:bookmarkEnd w:id="2"/>
      <w:bookmarkStart w:id="3" w:name="_Toc13582_WPSOffice_Level1"/>
      <w:r>
        <w:rPr>
          <w:rFonts w:hint="eastAsia"/>
          <w:color w:val="auto"/>
          <w:highlight w:val="none"/>
        </w:rPr>
        <w:t>2011199其他纪检监察事务支出1.50万元，2070199其他文化和旅游支出3.98万元， 2130505生产发展</w:t>
      </w:r>
      <w:r>
        <w:rPr>
          <w:rFonts w:hint="eastAsia"/>
          <w:color w:val="auto"/>
          <w:highlight w:val="none"/>
          <w:lang w:val="en-US" w:eastAsia="zh-CN"/>
        </w:rPr>
        <w:t>支出64万元，2130705农村综合改革支出40.22万元</w:t>
      </w:r>
      <w:r>
        <w:rPr>
          <w:rFonts w:hint="eastAsia"/>
          <w:color w:val="auto"/>
          <w:highlight w:val="none"/>
        </w:rPr>
        <w:t>。</w:t>
      </w:r>
    </w:p>
    <w:p w14:paraId="43DE1EE7">
      <w:pPr>
        <w:pStyle w:val="3"/>
        <w:rPr>
          <w:rFonts w:hint="eastAsia" w:ascii="宋体" w:hAnsi="宋体"/>
          <w:color w:val="auto"/>
          <w:highlight w:val="none"/>
        </w:rPr>
      </w:pPr>
      <w:r>
        <w:rPr>
          <w:rFonts w:hint="eastAsia" w:ascii="宋体" w:hAnsi="宋体"/>
          <w:color w:val="auto"/>
          <w:highlight w:val="none"/>
        </w:rPr>
        <w:t>三、部门单位整体支出绩效</w:t>
      </w:r>
      <w:bookmarkEnd w:id="3"/>
      <w:r>
        <w:rPr>
          <w:rFonts w:hint="eastAsia" w:ascii="宋体" w:hAnsi="宋体"/>
          <w:color w:val="auto"/>
          <w:highlight w:val="none"/>
        </w:rPr>
        <w:t>分析</w:t>
      </w:r>
    </w:p>
    <w:p w14:paraId="03DF807B">
      <w:pPr>
        <w:ind w:firstLine="560"/>
        <w:rPr>
          <w:color w:val="auto"/>
          <w:highlight w:val="none"/>
        </w:rPr>
      </w:pPr>
      <w:r>
        <w:rPr>
          <w:rFonts w:hint="eastAsia"/>
          <w:color w:val="auto"/>
          <w:highlight w:val="none"/>
        </w:rPr>
        <w:t>我单位2023年度部门整体支出绩效目标，共设置一级指标5个，二级指标5个，三级指标7个，其中已完成三级指标7个，指标完成率为100%。部门整体支出绩效情况如下：</w:t>
      </w:r>
    </w:p>
    <w:p w14:paraId="19FC9E97">
      <w:pPr>
        <w:pStyle w:val="4"/>
        <w:spacing w:before="156"/>
        <w:ind w:firstLine="643"/>
        <w:rPr>
          <w:color w:val="auto"/>
          <w:highlight w:val="none"/>
        </w:rPr>
      </w:pPr>
      <w:r>
        <w:rPr>
          <w:rFonts w:hint="eastAsia"/>
          <w:color w:val="auto"/>
          <w:highlight w:val="none"/>
        </w:rPr>
        <w:t>（一）项目支出预算执行率指标完成情况分析</w:t>
      </w:r>
    </w:p>
    <w:p w14:paraId="37C80C19">
      <w:pPr>
        <w:ind w:firstLine="560"/>
        <w:rPr>
          <w:color w:val="auto"/>
          <w:highlight w:val="none"/>
        </w:rPr>
      </w:pPr>
      <w:r>
        <w:rPr>
          <w:rFonts w:hint="eastAsia"/>
          <w:color w:val="auto"/>
          <w:highlight w:val="none"/>
        </w:rPr>
        <w:t>项目支出预算执行率指标年初设定目标是=100%，年中绩效运行监控时完成值47.35%，年终实际完成值是100%，指标完成率是100%，</w:t>
      </w:r>
      <w:r>
        <w:rPr>
          <w:rFonts w:hint="eastAsia"/>
          <w:color w:val="auto"/>
          <w:highlight w:val="none"/>
          <w:lang w:val="en-US" w:eastAsia="zh-CN"/>
        </w:rPr>
        <w:t>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w:t>
      </w:r>
      <w:r>
        <w:rPr>
          <w:rFonts w:hint="eastAsia"/>
          <w:color w:val="auto"/>
          <w:highlight w:val="none"/>
        </w:rPr>
        <w:t>。偏差原因：无偏差。</w:t>
      </w:r>
    </w:p>
    <w:p w14:paraId="5AC1547F">
      <w:pPr>
        <w:pStyle w:val="4"/>
        <w:spacing w:before="156"/>
        <w:ind w:firstLine="643"/>
        <w:rPr>
          <w:color w:val="auto"/>
          <w:highlight w:val="none"/>
        </w:rPr>
      </w:pPr>
      <w:r>
        <w:rPr>
          <w:rFonts w:hint="eastAsia"/>
          <w:color w:val="auto"/>
          <w:highlight w:val="none"/>
        </w:rPr>
        <w:t>（</w:t>
      </w:r>
      <w:r>
        <w:rPr>
          <w:rFonts w:hint="eastAsia"/>
          <w:color w:val="auto"/>
          <w:highlight w:val="none"/>
          <w:lang w:val="en-US" w:eastAsia="zh-CN"/>
        </w:rPr>
        <w:t>二</w:t>
      </w:r>
      <w:r>
        <w:rPr>
          <w:rFonts w:hint="eastAsia"/>
          <w:color w:val="auto"/>
          <w:highlight w:val="none"/>
        </w:rPr>
        <w:t>）“三公经费”控制率指标完成情况分析</w:t>
      </w:r>
    </w:p>
    <w:p w14:paraId="78C817FA">
      <w:pPr>
        <w:ind w:firstLine="560"/>
        <w:rPr>
          <w:color w:val="auto"/>
          <w:highlight w:val="none"/>
        </w:rPr>
      </w:pPr>
      <w:r>
        <w:rPr>
          <w:rFonts w:hint="eastAsia"/>
          <w:color w:val="auto"/>
          <w:highlight w:val="none"/>
        </w:rPr>
        <w:t>“三公经费”控制率年初设定目标是=100%，年中绩效运行监控时完成值100，年终实际完成值是100%，指标完成率是100%，</w:t>
      </w:r>
      <w:r>
        <w:rPr>
          <w:rFonts w:hint="eastAsia"/>
          <w:color w:val="auto"/>
          <w:highlight w:val="none"/>
          <w:lang w:val="en-US" w:eastAsia="zh-CN"/>
        </w:rPr>
        <w:t>达到保障公车正常运转的预期目标</w:t>
      </w:r>
      <w:r>
        <w:rPr>
          <w:rFonts w:hint="eastAsia"/>
          <w:color w:val="auto"/>
          <w:highlight w:val="none"/>
        </w:rPr>
        <w:t>。偏差原因：无偏差。</w:t>
      </w:r>
    </w:p>
    <w:p w14:paraId="5D0A091C">
      <w:pPr>
        <w:pStyle w:val="4"/>
        <w:numPr>
          <w:ilvl w:val="0"/>
          <w:numId w:val="0"/>
        </w:numPr>
        <w:bidi w:val="0"/>
        <w:ind w:leftChars="200"/>
        <w:rPr>
          <w:color w:val="auto"/>
          <w:highlight w:val="none"/>
        </w:rPr>
      </w:pPr>
      <w:r>
        <w:rPr>
          <w:rFonts w:hint="eastAsia"/>
          <w:color w:val="auto"/>
          <w:highlight w:val="none"/>
          <w:lang w:eastAsia="zh-CN"/>
        </w:rPr>
        <w:t>（</w:t>
      </w:r>
      <w:r>
        <w:rPr>
          <w:rFonts w:hint="eastAsia"/>
          <w:color w:val="auto"/>
          <w:highlight w:val="none"/>
          <w:lang w:val="en-US" w:eastAsia="zh-CN"/>
        </w:rPr>
        <w:t>三）项目实施及时率指标完成情况分析</w:t>
      </w:r>
    </w:p>
    <w:p w14:paraId="5E0C424B">
      <w:pPr>
        <w:ind w:firstLine="560"/>
        <w:rPr>
          <w:rFonts w:hint="eastAsia"/>
          <w:color w:val="auto"/>
          <w:highlight w:val="none"/>
        </w:rPr>
      </w:pPr>
      <w:r>
        <w:rPr>
          <w:rFonts w:hint="eastAsia"/>
          <w:color w:val="auto"/>
          <w:highlight w:val="none"/>
        </w:rPr>
        <w:t>项目实施及时率年初设定目标是≥95%，年中绩效运行监控时完成值95%，年终实际完成值是95%，指标完成率是100%，</w:t>
      </w:r>
      <w:r>
        <w:rPr>
          <w:rFonts w:hint="eastAsia"/>
          <w:color w:val="auto"/>
          <w:highlight w:val="none"/>
          <w:lang w:val="en-US" w:eastAsia="zh-CN"/>
        </w:rPr>
        <w:t>达到项目及时实施，能按期完成的预期目标</w:t>
      </w:r>
      <w:r>
        <w:rPr>
          <w:rFonts w:hint="eastAsia"/>
          <w:color w:val="auto"/>
          <w:highlight w:val="none"/>
        </w:rPr>
        <w:t>。偏差原因：无偏差。</w:t>
      </w:r>
    </w:p>
    <w:p w14:paraId="71DFFEB0">
      <w:pPr>
        <w:ind w:firstLine="560"/>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四）保障职工数量指标完成</w:t>
      </w:r>
      <w:r>
        <w:rPr>
          <w:rFonts w:hint="eastAsia" w:ascii="楷体_GB2312" w:hAnsi="楷体_GB2312" w:eastAsia="楷体_GB2312" w:cs="楷体_GB2312"/>
          <w:b/>
          <w:bCs/>
          <w:color w:val="auto"/>
          <w:sz w:val="32"/>
          <w:szCs w:val="32"/>
          <w:highlight w:val="none"/>
        </w:rPr>
        <w:t>情况分析</w:t>
      </w:r>
    </w:p>
    <w:p w14:paraId="3E046026">
      <w:pPr>
        <w:ind w:firstLine="560"/>
        <w:rPr>
          <w:rFonts w:hint="eastAsia"/>
          <w:bCs/>
          <w:color w:val="auto"/>
          <w:highlight w:val="none"/>
        </w:rPr>
      </w:pPr>
      <w:r>
        <w:rPr>
          <w:rFonts w:hint="eastAsia"/>
          <w:bCs/>
          <w:color w:val="auto"/>
          <w:highlight w:val="none"/>
        </w:rPr>
        <w:t>保障职工数量年初设定目标是≤100人，年中绩效运行监控时完成值80人，年终实际完成值是100人，指标完成率是100%，</w:t>
      </w:r>
      <w:r>
        <w:rPr>
          <w:rFonts w:hint="eastAsia"/>
          <w:color w:val="auto"/>
          <w:highlight w:val="none"/>
          <w:lang w:val="en-US" w:eastAsia="zh-CN"/>
        </w:rPr>
        <w:t>达到了单位在职职工工资的按时足额发放，单位的正常运转，广大干部职工工作积极性提高的预期目标</w:t>
      </w:r>
      <w:r>
        <w:rPr>
          <w:rFonts w:hint="eastAsia"/>
          <w:bCs/>
          <w:color w:val="auto"/>
          <w:highlight w:val="none"/>
        </w:rPr>
        <w:t>。偏差原因：无偏差。</w:t>
      </w:r>
    </w:p>
    <w:p w14:paraId="721DFB75">
      <w:pPr>
        <w:pStyle w:val="4"/>
        <w:numPr>
          <w:ilvl w:val="0"/>
          <w:numId w:val="0"/>
        </w:numPr>
        <w:bidi w:val="0"/>
        <w:ind w:leftChars="200"/>
        <w:rPr>
          <w:rFonts w:hint="default" w:eastAsia="仿宋"/>
          <w:color w:val="auto"/>
          <w:highlight w:val="none"/>
          <w:lang w:val="en-US" w:eastAsia="zh-CN"/>
        </w:rPr>
      </w:pPr>
      <w:r>
        <w:rPr>
          <w:rFonts w:hint="eastAsia"/>
          <w:bCs/>
          <w:color w:val="auto"/>
          <w:highlight w:val="none"/>
          <w:lang w:eastAsia="zh-CN"/>
        </w:rPr>
        <w:t>（</w:t>
      </w:r>
      <w:r>
        <w:rPr>
          <w:rFonts w:hint="eastAsia"/>
          <w:bCs/>
          <w:color w:val="auto"/>
          <w:highlight w:val="none"/>
          <w:lang w:val="en-US" w:eastAsia="zh-CN"/>
        </w:rPr>
        <w:t>五）</w:t>
      </w:r>
      <w:r>
        <w:rPr>
          <w:rFonts w:hint="eastAsia"/>
          <w:color w:val="auto"/>
          <w:highlight w:val="none"/>
          <w:lang w:val="en-US" w:eastAsia="zh-CN"/>
        </w:rPr>
        <w:t>为民办实事件事指标完成情况分析</w:t>
      </w:r>
    </w:p>
    <w:p w14:paraId="50FEEBE5">
      <w:pPr>
        <w:ind w:firstLine="560"/>
        <w:rPr>
          <w:bCs/>
          <w:color w:val="auto"/>
          <w:highlight w:val="none"/>
        </w:rPr>
      </w:pPr>
      <w:r>
        <w:rPr>
          <w:rFonts w:hint="eastAsia"/>
          <w:bCs/>
          <w:color w:val="auto"/>
          <w:highlight w:val="none"/>
        </w:rPr>
        <w:t>为民</w:t>
      </w:r>
      <w:r>
        <w:rPr>
          <w:rFonts w:hint="eastAsia"/>
          <w:bCs/>
          <w:color w:val="auto"/>
          <w:highlight w:val="none"/>
          <w:lang w:eastAsia="zh-CN"/>
        </w:rPr>
        <w:t>办实事</w:t>
      </w:r>
      <w:r>
        <w:rPr>
          <w:rFonts w:hint="eastAsia"/>
          <w:bCs/>
          <w:color w:val="auto"/>
          <w:highlight w:val="none"/>
        </w:rPr>
        <w:t>数量年初设定目标是≥25件，年中绩效运行监控时完成值10件，年终实际完成值是25件，指标完成率是100%，</w:t>
      </w:r>
      <w:r>
        <w:rPr>
          <w:rFonts w:hint="eastAsia"/>
          <w:b w:val="0"/>
          <w:bCs w:val="0"/>
          <w:color w:val="auto"/>
          <w:highlight w:val="none"/>
          <w:lang w:val="en-US" w:eastAsia="zh-CN"/>
        </w:rPr>
        <w:t>达到了提升村、社区党组织服务群众能力，减轻农民负担</w:t>
      </w:r>
      <w:r>
        <w:rPr>
          <w:rFonts w:hint="eastAsia"/>
          <w:color w:val="auto"/>
          <w:highlight w:val="none"/>
          <w:lang w:val="en-US" w:eastAsia="zh-CN"/>
        </w:rPr>
        <w:t>预期目标</w:t>
      </w:r>
      <w:r>
        <w:rPr>
          <w:rFonts w:hint="eastAsia"/>
          <w:bCs/>
          <w:color w:val="auto"/>
          <w:highlight w:val="none"/>
        </w:rPr>
        <w:t>。偏差原因：无偏差。</w:t>
      </w:r>
    </w:p>
    <w:p w14:paraId="53E87172">
      <w:pPr>
        <w:numPr>
          <w:ilvl w:val="0"/>
          <w:numId w:val="0"/>
        </w:numPr>
        <w:ind w:firstLine="643" w:firstLineChars="200"/>
        <w:rPr>
          <w:rFonts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lang w:eastAsia="zh-CN"/>
        </w:rPr>
        <w:t>（</w:t>
      </w:r>
      <w:r>
        <w:rPr>
          <w:rFonts w:hint="eastAsia" w:ascii="楷体_GB2312" w:hAnsi="楷体_GB2312" w:eastAsia="楷体_GB2312" w:cs="楷体_GB2312"/>
          <w:b/>
          <w:bCs/>
          <w:color w:val="auto"/>
          <w:sz w:val="32"/>
          <w:szCs w:val="32"/>
          <w:highlight w:val="none"/>
          <w:lang w:val="en-US" w:eastAsia="zh-CN"/>
        </w:rPr>
        <w:t>六）</w:t>
      </w:r>
      <w:r>
        <w:rPr>
          <w:rFonts w:hint="eastAsia" w:ascii="楷体_GB2312" w:hAnsi="楷体_GB2312" w:eastAsia="楷体_GB2312" w:cs="楷体_GB2312"/>
          <w:b/>
          <w:bCs/>
          <w:color w:val="auto"/>
          <w:sz w:val="32"/>
          <w:szCs w:val="32"/>
          <w:highlight w:val="none"/>
        </w:rPr>
        <w:t>农牧民夜校受益人数指标完成情况分析</w:t>
      </w:r>
    </w:p>
    <w:p w14:paraId="1B828A46">
      <w:pPr>
        <w:ind w:firstLine="560"/>
        <w:rPr>
          <w:bCs/>
          <w:color w:val="auto"/>
          <w:highlight w:val="none"/>
        </w:rPr>
      </w:pPr>
      <w:r>
        <w:rPr>
          <w:rFonts w:hint="eastAsia"/>
          <w:bCs/>
          <w:color w:val="auto"/>
          <w:highlight w:val="none"/>
        </w:rPr>
        <w:t>农牧民夜校受益人数年初设定目标是≥180人，年中绩效运行监控时完成值80人，年终实际完成值是180人，指标完成率是100%，达到</w:t>
      </w:r>
      <w:r>
        <w:rPr>
          <w:rFonts w:hint="eastAsia"/>
          <w:bCs/>
          <w:color w:val="auto"/>
          <w:highlight w:val="none"/>
          <w:lang w:val="en-US" w:eastAsia="zh-CN"/>
        </w:rPr>
        <w:t>牧民国语水平提高，法律意识，自我保护意识增强的</w:t>
      </w:r>
      <w:r>
        <w:rPr>
          <w:rFonts w:hint="eastAsia"/>
          <w:bCs/>
          <w:color w:val="auto"/>
          <w:highlight w:val="none"/>
        </w:rPr>
        <w:t>目标。偏差原因：无偏差。</w:t>
      </w:r>
    </w:p>
    <w:p w14:paraId="4A2A67E7">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（七）干部职工满意度指标完成情况分析</w:t>
      </w:r>
    </w:p>
    <w:p w14:paraId="6C4AE32C">
      <w:pPr>
        <w:ind w:firstLine="560"/>
        <w:rPr>
          <w:bCs/>
          <w:color w:val="auto"/>
          <w:highlight w:val="none"/>
        </w:rPr>
      </w:pPr>
      <w:r>
        <w:rPr>
          <w:rFonts w:hint="eastAsia"/>
          <w:bCs/>
          <w:color w:val="auto"/>
          <w:highlight w:val="none"/>
        </w:rPr>
        <w:t>干部职工满意度年初设定目标是≥95%，年中绩效运行监控时完成值未达监控节点，年终实际完成值是95%，指标完成率是100%，</w:t>
      </w:r>
      <w:r>
        <w:rPr>
          <w:rFonts w:hint="eastAsia"/>
          <w:color w:val="auto"/>
          <w:highlight w:val="none"/>
          <w:lang w:val="en-US" w:eastAsia="zh-CN"/>
        </w:rPr>
        <w:t>达到提高干部职工满意度，调动干部职工积极性预期目标</w:t>
      </w:r>
      <w:r>
        <w:rPr>
          <w:rFonts w:hint="eastAsia"/>
          <w:bCs/>
          <w:color w:val="auto"/>
          <w:highlight w:val="none"/>
        </w:rPr>
        <w:t>。偏差原因：无偏差。</w:t>
      </w:r>
    </w:p>
    <w:p w14:paraId="6117FAC0">
      <w:pPr>
        <w:pStyle w:val="3"/>
        <w:ind w:left="560" w:leftChars="200" w:firstLine="0" w:firstLineChars="0"/>
        <w:rPr>
          <w:color w:val="auto"/>
          <w:highlight w:val="none"/>
        </w:rPr>
      </w:pPr>
      <w:r>
        <w:rPr>
          <w:rFonts w:hint="eastAsia"/>
          <w:color w:val="auto"/>
          <w:highlight w:val="none"/>
        </w:rPr>
        <w:t>四、评价结论</w:t>
      </w:r>
    </w:p>
    <w:p w14:paraId="145F9607">
      <w:pPr>
        <w:ind w:firstLine="560"/>
        <w:rPr>
          <w:rFonts w:ascii="Times New Roman" w:hAnsi="Times New Roman" w:cs="Times New Roman"/>
          <w:color w:val="auto"/>
          <w:highlight w:val="none"/>
        </w:rPr>
      </w:pPr>
      <w:r>
        <w:rPr>
          <w:rFonts w:hint="eastAsia"/>
          <w:color w:val="auto"/>
          <w:highlight w:val="none"/>
        </w:rPr>
        <w:t>我单位2023年度部门整体支出绩效自评综合得分100分，评价结果为“优”。</w:t>
      </w:r>
      <w:r>
        <w:rPr>
          <w:rFonts w:hint="eastAsia" w:ascii="Times New Roman" w:hAnsi="Times New Roman" w:cs="Times New Roman"/>
          <w:color w:val="auto"/>
          <w:highlight w:val="none"/>
        </w:rPr>
        <w:t>我</w:t>
      </w:r>
      <w:r>
        <w:rPr>
          <w:rFonts w:ascii="Times New Roman" w:hAnsi="Times New Roman" w:cs="Times New Roman"/>
          <w:color w:val="auto"/>
          <w:highlight w:val="none"/>
        </w:rPr>
        <w:t>单位202</w:t>
      </w:r>
      <w:r>
        <w:rPr>
          <w:rFonts w:hint="eastAsia" w:ascii="Times New Roman" w:hAnsi="Times New Roman" w:cs="Times New Roman"/>
          <w:color w:val="auto"/>
          <w:highlight w:val="none"/>
        </w:rPr>
        <w:t>3</w:t>
      </w:r>
      <w:r>
        <w:rPr>
          <w:rFonts w:ascii="Times New Roman" w:hAnsi="Times New Roman" w:cs="Times New Roman"/>
          <w:color w:val="auto"/>
          <w:highlight w:val="none"/>
        </w:rPr>
        <w:t>年部门履职效果良好，</w:t>
      </w:r>
      <w:r>
        <w:rPr>
          <w:rFonts w:hint="eastAsia" w:ascii="Times New Roman" w:hAnsi="Times New Roman" w:cs="Times New Roman"/>
          <w:color w:val="auto"/>
          <w:highlight w:val="none"/>
        </w:rPr>
        <w:t>主要体现在：</w:t>
      </w:r>
    </w:p>
    <w:p w14:paraId="08B360B6">
      <w:pPr>
        <w:adjustRightInd/>
        <w:spacing w:line="560" w:lineRule="exact"/>
        <w:rPr>
          <w:rFonts w:hint="eastAsia"/>
          <w:bCs/>
          <w:color w:val="auto"/>
          <w:highlight w:val="none"/>
        </w:rPr>
      </w:pPr>
      <w:r>
        <w:rPr>
          <w:rFonts w:hint="eastAsia" w:ascii="方正楷体_GBK" w:hAnsi="方正楷体_GBK" w:eastAsia="方正楷体_GBK" w:cs="方正楷体_GBK"/>
          <w:color w:val="auto"/>
          <w:sz w:val="32"/>
          <w:szCs w:val="32"/>
          <w:highlight w:val="none"/>
        </w:rPr>
        <w:t>（一）</w:t>
      </w:r>
      <w:r>
        <w:rPr>
          <w:rFonts w:hint="eastAsia"/>
          <w:bCs/>
          <w:color w:val="auto"/>
          <w:highlight w:val="none"/>
        </w:rPr>
        <w:t>综合经济实力稳步提升。今年以来，乡党委、政府认真贯彻习近平总书记“扎实推动经济高质量发展”重要指示批示精神，坚持稳中求进工作总基调，全面贯彻新发展理念，全乡经济呈现出平稳发展的良好势头。</w:t>
      </w:r>
    </w:p>
    <w:p w14:paraId="6BB1C362">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ascii="Times New Roman" w:hAnsi="Times New Roman" w:eastAsia="方正仿宋_GB2312" w:cs="方正仿宋_GB2312"/>
          <w:color w:val="auto"/>
          <w:sz w:val="28"/>
          <w:szCs w:val="28"/>
          <w:highlight w:val="none"/>
        </w:rPr>
      </w:pPr>
      <w:r>
        <w:rPr>
          <w:rFonts w:hint="eastAsia"/>
          <w:bCs/>
          <w:color w:val="auto"/>
          <w:sz w:val="28"/>
          <w:szCs w:val="28"/>
          <w:highlight w:val="none"/>
        </w:rPr>
        <w:t>（二）</w:t>
      </w:r>
      <w:r>
        <w:rPr>
          <w:rFonts w:hint="eastAsia" w:ascii="Times New Roman" w:hAnsi="Times New Roman" w:eastAsia="方正仿宋_GB2312" w:cs="方正仿宋_GB2312"/>
          <w:b/>
          <w:bCs/>
          <w:color w:val="auto"/>
          <w:sz w:val="28"/>
          <w:szCs w:val="28"/>
          <w:highlight w:val="none"/>
        </w:rPr>
        <w:t>脱贫成果全面巩固。</w:t>
      </w:r>
      <w:r>
        <w:rPr>
          <w:rFonts w:hint="eastAsia" w:ascii="Times New Roman" w:hAnsi="Times New Roman" w:eastAsia="方正仿宋_GB2312" w:cs="方正仿宋_GB2312"/>
          <w:color w:val="auto"/>
          <w:sz w:val="28"/>
          <w:szCs w:val="28"/>
          <w:highlight w:val="none"/>
        </w:rPr>
        <w:t>严格落实“四个不摘”要求，健全完善动态监测帮扶机制，</w:t>
      </w:r>
      <w:r>
        <w:rPr>
          <w:rFonts w:ascii="Times New Roman" w:hAnsi="Times New Roman" w:eastAsia="方正仿宋_GB2312" w:cs="方正仿宋_GB2312"/>
          <w:color w:val="auto"/>
          <w:sz w:val="28"/>
          <w:szCs w:val="28"/>
          <w:highlight w:val="none"/>
        </w:rPr>
        <w:t>持续对未消除风险的1户4人和已消除风险的45户129人进行动态监测，针对性制定帮扶措施，巩固提升家庭收入，</w:t>
      </w:r>
      <w:r>
        <w:rPr>
          <w:rFonts w:hint="eastAsia" w:ascii="Times New Roman" w:hAnsi="Times New Roman" w:eastAsia="方正仿宋_GB2312" w:cs="方正仿宋_GB2312"/>
          <w:color w:val="auto"/>
          <w:sz w:val="28"/>
          <w:szCs w:val="28"/>
          <w:highlight w:val="none"/>
        </w:rPr>
        <w:t>及时消除返贫风险，坚决防止规模性返贫。扎实做好脱贫户稳岗就业，组织牧民开展基本素质提升和技能培训累计227人次。鼓励脱贫户务工就业，新增就业70人，其中省外务工46人。完善信贷帮扶工作。加大脱贫人口产业发展扶持力度，提升小额信贷质量，全年为136户脱贫户办理小额信贷共计633万元。</w:t>
      </w:r>
    </w:p>
    <w:p w14:paraId="3A27D966">
      <w:pPr>
        <w:pBdr>
          <w:top w:val="none" w:color="000000" w:sz="0" w:space="0"/>
          <w:left w:val="none" w:color="000000" w:sz="0" w:space="0"/>
          <w:bottom w:val="none" w:color="000000" w:sz="0" w:space="31"/>
          <w:right w:val="none" w:color="000000" w:sz="0" w:space="11"/>
        </w:pBdr>
        <w:tabs>
          <w:tab w:val="left" w:pos="2410"/>
        </w:tabs>
        <w:autoSpaceDN w:val="0"/>
        <w:ind w:firstLine="560"/>
        <w:rPr>
          <w:rFonts w:hint="eastAsia"/>
          <w:color w:val="auto"/>
          <w:sz w:val="28"/>
          <w:szCs w:val="28"/>
          <w:highlight w:val="none"/>
        </w:rPr>
      </w:pPr>
      <w:r>
        <w:rPr>
          <w:rFonts w:hint="eastAsia" w:ascii="方正楷体_GBK" w:hAnsi="方正楷体_GBK" w:eastAsia="方正楷体_GBK" w:cs="方正楷体_GBK"/>
          <w:color w:val="auto"/>
          <w:sz w:val="28"/>
          <w:szCs w:val="28"/>
          <w:highlight w:val="none"/>
        </w:rPr>
        <w:t>（三）</w:t>
      </w:r>
      <w:r>
        <w:rPr>
          <w:rFonts w:hint="eastAsia" w:ascii="Times New Roman" w:hAnsi="Times New Roman" w:eastAsia="方正仿宋_GB2312" w:cs="方正仿宋_GB2312"/>
          <w:color w:val="auto"/>
          <w:sz w:val="28"/>
          <w:szCs w:val="28"/>
          <w:highlight w:val="none"/>
        </w:rPr>
        <w:t>文化润疆工程深入实施。坚定党管意识形态、党管宣传、党管媒体不动摇，严格落实意识形态责任制。充分发挥乡村“科普馆”、新时代文明实践所（站）、文化阵地等载体作用，全力推广“我的巴州”志愿服务客户端，围绕理论宣传、文明行动、畜牧养殖、法律服务等方面，多方位、多角度开展好志愿服务活动，组织各类宣讲240余场次，中华民族共同体意识不断增强。认真贯彻落实自治区《关于扎实推进2023年全区公共文化服务活动内容建设的通知》，制定年度品牌活动计划，积极组织开展“石榴花开心向党 巾帼建功新时代”妇女系列活动、“石榴花开·舞动额勒再特乌鲁乡”广场舞暨青年歌手大赛等活动，进一步拉近干群距离；精心筹备完成了额勒再特乌鲁乡第二届山泉旅游文化节活动，以马术培训班、奶制品制作为切入点，打造草垛乐园、天空之境和草原</w:t>
      </w:r>
      <w:r>
        <w:rPr>
          <w:rFonts w:hint="eastAsia" w:ascii="Times New Roman" w:hAnsi="Times New Roman" w:eastAsia="方正仿宋_GB2312" w:cs="方正仿宋_GB2312"/>
          <w:color w:val="auto"/>
          <w:sz w:val="28"/>
          <w:szCs w:val="28"/>
          <w:highlight w:val="none"/>
          <w:lang w:eastAsia="zh-CN"/>
        </w:rPr>
        <w:t>风情</w:t>
      </w:r>
      <w:r>
        <w:rPr>
          <w:rFonts w:hint="eastAsia" w:ascii="Times New Roman" w:hAnsi="Times New Roman" w:eastAsia="方正仿宋_GB2312" w:cs="方正仿宋_GB2312"/>
          <w:color w:val="auto"/>
          <w:sz w:val="28"/>
          <w:szCs w:val="28"/>
          <w:highlight w:val="none"/>
        </w:rPr>
        <w:t>等景点，以崭新的表现方式，将草原自然风光、群体性体育竞技、民俗文化体验和乡村振兴旅游紧密结合，为广大游客领略体验到圣泉水、湿地敖包、马蹄湾等神奇炫目的自然风光的同时，也为当地文旅融合发展，牧民增收等方面起到积极助推的作用。今年来，我乡投稿石榴云、县融媒体信息90余篇，采用71篇（其中被中央主流媒体采纳21条，自治区主流媒体采纳15条，县级媒</w:t>
      </w:r>
      <w:r>
        <w:rPr>
          <w:rFonts w:hint="eastAsia"/>
          <w:color w:val="auto"/>
          <w:sz w:val="28"/>
          <w:szCs w:val="28"/>
          <w:highlight w:val="none"/>
        </w:rPr>
        <w:t>体采纳35条）。</w:t>
      </w:r>
      <w:bookmarkStart w:id="4" w:name="_Toc22800_WPSOffice_Level1"/>
    </w:p>
    <w:p w14:paraId="03FCF83B">
      <w:pPr>
        <w:ind w:firstLine="560"/>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五、存在的主要问题</w:t>
      </w:r>
      <w:bookmarkEnd w:id="4"/>
      <w:r>
        <w:rPr>
          <w:rFonts w:hint="eastAsia" w:ascii="宋体" w:hAnsi="宋体" w:eastAsia="黑体" w:cs="仿宋_GB2312"/>
          <w:bCs/>
          <w:color w:val="auto"/>
          <w:kern w:val="44"/>
          <w:sz w:val="32"/>
          <w:szCs w:val="44"/>
          <w:highlight w:val="none"/>
          <w:lang w:val="en-US" w:eastAsia="zh-CN" w:bidi="ar-SA"/>
        </w:rPr>
        <w:t>及原因分析</w:t>
      </w:r>
    </w:p>
    <w:p w14:paraId="307674AC">
      <w:pPr>
        <w:bidi w:val="0"/>
        <w:rPr>
          <w:rFonts w:hint="eastAsia"/>
          <w:color w:val="auto"/>
          <w:highlight w:val="none"/>
          <w:lang w:val="en-US" w:eastAsia="zh-CN"/>
        </w:rPr>
      </w:pPr>
      <w:bookmarkStart w:id="5" w:name="_Toc29546_WPSOffice_Level1"/>
      <w:r>
        <w:rPr>
          <w:rFonts w:hint="eastAsia"/>
          <w:color w:val="auto"/>
          <w:highlight w:val="none"/>
          <w:lang w:val="en-US" w:eastAsia="zh-CN"/>
        </w:rPr>
        <w:t>1.绩效指标目标值的设定有待进一步合理化，在分解总体绩效目标中，产出指标中的质量指标设置为“项目完成率”不能很好地反馈该项目实施的质量；此外时效指标设置为“项目持续时间”太过笼统，也不能很好体现项目是否及时开展。</w:t>
      </w:r>
    </w:p>
    <w:p w14:paraId="15696346">
      <w:pPr>
        <w:bidi w:val="0"/>
        <w:rPr>
          <w:rFonts w:hint="eastAsia"/>
          <w:color w:val="auto"/>
          <w:highlight w:val="none"/>
          <w:lang w:val="en-US" w:eastAsia="zh-CN"/>
        </w:rPr>
      </w:pPr>
      <w:r>
        <w:rPr>
          <w:rFonts w:hint="eastAsia"/>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25915312">
      <w:pP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六、改进措施和建议</w:t>
      </w:r>
      <w:bookmarkEnd w:id="5"/>
    </w:p>
    <w:p w14:paraId="7FBFC8D5">
      <w:pPr>
        <w:bidi w:val="0"/>
        <w:rPr>
          <w:rFonts w:hint="eastAsia"/>
          <w:color w:val="auto"/>
          <w:highlight w:val="none"/>
          <w:lang w:val="en-US" w:eastAsia="zh-CN"/>
        </w:rPr>
      </w:pPr>
      <w:r>
        <w:rPr>
          <w:rFonts w:hint="eastAsia"/>
          <w:color w:val="auto"/>
          <w:highlight w:val="none"/>
          <w:lang w:val="en-US" w:eastAsia="zh-CN"/>
        </w:rPr>
        <w:t>1、一是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14:paraId="0D7243A9">
      <w:pPr>
        <w:bidi w:val="0"/>
        <w:rPr>
          <w:rFonts w:hint="default"/>
          <w:color w:val="auto"/>
          <w:highlight w:val="none"/>
          <w:lang w:val="en-US" w:eastAsia="zh-CN"/>
        </w:rPr>
      </w:pPr>
      <w:r>
        <w:rPr>
          <w:rFonts w:hint="eastAsia"/>
          <w:color w:val="auto"/>
          <w:highlight w:val="none"/>
          <w:lang w:val="en-US" w:eastAsia="zh-CN"/>
        </w:rPr>
        <w:t>2、我单位严格遵守《中华人民共和国会计法》《中华人民共和国预算法》《行政单位财务规则》等法律和有关财政财务规章，规范财政资金管理，量入为出，统筹兼顾，突出重点，讲究实效，防范风险，合理使用各项资金，确保了我单位预算管理的成效，全年预算支出整体受控。 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14:paraId="1A0D9F76">
      <w:pPr>
        <w:pStyle w:val="3"/>
        <w:rPr>
          <w:color w:val="auto"/>
          <w:highlight w:val="none"/>
        </w:rPr>
      </w:pPr>
      <w:r>
        <w:rPr>
          <w:rFonts w:hint="eastAsia"/>
          <w:color w:val="auto"/>
          <w:highlight w:val="none"/>
        </w:rPr>
        <w:t>七、附件上传</w:t>
      </w:r>
    </w:p>
    <w:p w14:paraId="2913545C">
      <w:pPr>
        <w:ind w:firstLine="0" w:firstLineChars="0"/>
        <w:rPr>
          <w:color w:val="auto"/>
          <w:highlight w:val="none"/>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2312">
    <w:altName w:val="仿宋"/>
    <w:panose1 w:val="00000000000000000000"/>
    <w:charset w:val="00"/>
    <w:family w:val="auto"/>
    <w:pitch w:val="default"/>
    <w:sig w:usb0="00000000" w:usb1="00000000"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8C8B19">
    <w:pPr>
      <w:pStyle w:val="11"/>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14:paraId="2D1C2090">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97DF7"/>
    <w:rsid w:val="001C1E1D"/>
    <w:rsid w:val="001E750D"/>
    <w:rsid w:val="0022744B"/>
    <w:rsid w:val="00234372"/>
    <w:rsid w:val="00292A50"/>
    <w:rsid w:val="002939FF"/>
    <w:rsid w:val="002F7CCD"/>
    <w:rsid w:val="003F0DB2"/>
    <w:rsid w:val="00424A01"/>
    <w:rsid w:val="00491D09"/>
    <w:rsid w:val="004E1483"/>
    <w:rsid w:val="0054132C"/>
    <w:rsid w:val="00551AAA"/>
    <w:rsid w:val="005B1250"/>
    <w:rsid w:val="006258B7"/>
    <w:rsid w:val="00633862"/>
    <w:rsid w:val="00650F85"/>
    <w:rsid w:val="006B4CDA"/>
    <w:rsid w:val="006C5BED"/>
    <w:rsid w:val="006C5D3A"/>
    <w:rsid w:val="006D4FCD"/>
    <w:rsid w:val="006F7865"/>
    <w:rsid w:val="00702D4A"/>
    <w:rsid w:val="007115C8"/>
    <w:rsid w:val="00722C79"/>
    <w:rsid w:val="00724F4D"/>
    <w:rsid w:val="007E7E99"/>
    <w:rsid w:val="00822441"/>
    <w:rsid w:val="00825D99"/>
    <w:rsid w:val="0089387B"/>
    <w:rsid w:val="008E7E52"/>
    <w:rsid w:val="009304D8"/>
    <w:rsid w:val="0093778D"/>
    <w:rsid w:val="0095018A"/>
    <w:rsid w:val="0097614B"/>
    <w:rsid w:val="0099431C"/>
    <w:rsid w:val="009F5A38"/>
    <w:rsid w:val="00AA5126"/>
    <w:rsid w:val="00AD16CD"/>
    <w:rsid w:val="00B5590F"/>
    <w:rsid w:val="00B86B60"/>
    <w:rsid w:val="00BA13C5"/>
    <w:rsid w:val="00BA3B12"/>
    <w:rsid w:val="00BD7AB3"/>
    <w:rsid w:val="00BF62C2"/>
    <w:rsid w:val="00C52A34"/>
    <w:rsid w:val="00C77007"/>
    <w:rsid w:val="00CD2F35"/>
    <w:rsid w:val="00CD5A03"/>
    <w:rsid w:val="00D5678F"/>
    <w:rsid w:val="00D61D20"/>
    <w:rsid w:val="00D775E8"/>
    <w:rsid w:val="00D82401"/>
    <w:rsid w:val="00D9126A"/>
    <w:rsid w:val="00D93262"/>
    <w:rsid w:val="00DB1085"/>
    <w:rsid w:val="00EB1FFE"/>
    <w:rsid w:val="00F326C7"/>
    <w:rsid w:val="00F84215"/>
    <w:rsid w:val="00FF2ACD"/>
    <w:rsid w:val="012008EE"/>
    <w:rsid w:val="01941124"/>
    <w:rsid w:val="01CC583F"/>
    <w:rsid w:val="02337D11"/>
    <w:rsid w:val="02C40969"/>
    <w:rsid w:val="03AC7D7B"/>
    <w:rsid w:val="03D34078"/>
    <w:rsid w:val="04DB4953"/>
    <w:rsid w:val="04FF0482"/>
    <w:rsid w:val="05062887"/>
    <w:rsid w:val="05464D81"/>
    <w:rsid w:val="05F70F85"/>
    <w:rsid w:val="0607573C"/>
    <w:rsid w:val="061834A6"/>
    <w:rsid w:val="06547701"/>
    <w:rsid w:val="072B19D6"/>
    <w:rsid w:val="084208C4"/>
    <w:rsid w:val="098A3C0A"/>
    <w:rsid w:val="09A24E4E"/>
    <w:rsid w:val="0A9A7091"/>
    <w:rsid w:val="0C6738B8"/>
    <w:rsid w:val="0E7D784C"/>
    <w:rsid w:val="10300946"/>
    <w:rsid w:val="10FE60D7"/>
    <w:rsid w:val="110A7E8F"/>
    <w:rsid w:val="128D36F4"/>
    <w:rsid w:val="134F7771"/>
    <w:rsid w:val="13E513B9"/>
    <w:rsid w:val="158C5316"/>
    <w:rsid w:val="15B904C0"/>
    <w:rsid w:val="165C118C"/>
    <w:rsid w:val="172D035F"/>
    <w:rsid w:val="175D58E3"/>
    <w:rsid w:val="18061B60"/>
    <w:rsid w:val="190C3DF8"/>
    <w:rsid w:val="19AA4D08"/>
    <w:rsid w:val="19BC1F42"/>
    <w:rsid w:val="19F83E30"/>
    <w:rsid w:val="1AF20311"/>
    <w:rsid w:val="1B403139"/>
    <w:rsid w:val="1C6D319F"/>
    <w:rsid w:val="1D384A93"/>
    <w:rsid w:val="1D4D74D6"/>
    <w:rsid w:val="1DE32CFD"/>
    <w:rsid w:val="1E5A13A3"/>
    <w:rsid w:val="1F1A602A"/>
    <w:rsid w:val="1F2854B6"/>
    <w:rsid w:val="217D20CE"/>
    <w:rsid w:val="21C67E02"/>
    <w:rsid w:val="21C768CD"/>
    <w:rsid w:val="22E14253"/>
    <w:rsid w:val="23931BB2"/>
    <w:rsid w:val="23F209A3"/>
    <w:rsid w:val="2403516E"/>
    <w:rsid w:val="256A2A9E"/>
    <w:rsid w:val="263F63D5"/>
    <w:rsid w:val="26DB0DED"/>
    <w:rsid w:val="27F7226E"/>
    <w:rsid w:val="2805537E"/>
    <w:rsid w:val="289437EE"/>
    <w:rsid w:val="297873DB"/>
    <w:rsid w:val="29F35E61"/>
    <w:rsid w:val="2A285817"/>
    <w:rsid w:val="2A707CA5"/>
    <w:rsid w:val="2B6F150A"/>
    <w:rsid w:val="2BB557CB"/>
    <w:rsid w:val="2BC51751"/>
    <w:rsid w:val="2BDE2BF8"/>
    <w:rsid w:val="2D166684"/>
    <w:rsid w:val="2EBF757D"/>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1B637A"/>
    <w:rsid w:val="38CB5066"/>
    <w:rsid w:val="38E054C9"/>
    <w:rsid w:val="3A565DE9"/>
    <w:rsid w:val="3AC36A27"/>
    <w:rsid w:val="3F301058"/>
    <w:rsid w:val="417A34F9"/>
    <w:rsid w:val="418810F4"/>
    <w:rsid w:val="41913EEE"/>
    <w:rsid w:val="41A37673"/>
    <w:rsid w:val="42503F5E"/>
    <w:rsid w:val="42C30950"/>
    <w:rsid w:val="459B4F7E"/>
    <w:rsid w:val="45A65C7F"/>
    <w:rsid w:val="45F13359"/>
    <w:rsid w:val="468C2A4A"/>
    <w:rsid w:val="46AD2493"/>
    <w:rsid w:val="46EC7F14"/>
    <w:rsid w:val="474A045B"/>
    <w:rsid w:val="47CA7D9C"/>
    <w:rsid w:val="47CB7671"/>
    <w:rsid w:val="47DB3D58"/>
    <w:rsid w:val="48194880"/>
    <w:rsid w:val="48AF4C7F"/>
    <w:rsid w:val="4A5B46DD"/>
    <w:rsid w:val="4A6F6A56"/>
    <w:rsid w:val="4A7E3C63"/>
    <w:rsid w:val="4A81677A"/>
    <w:rsid w:val="4B3B5348"/>
    <w:rsid w:val="4C2E1B0A"/>
    <w:rsid w:val="4D8C3B9D"/>
    <w:rsid w:val="4DA177B2"/>
    <w:rsid w:val="4DA370C6"/>
    <w:rsid w:val="4DF36D4F"/>
    <w:rsid w:val="4FA113E3"/>
    <w:rsid w:val="501B7C76"/>
    <w:rsid w:val="504D5CCF"/>
    <w:rsid w:val="511A2CA6"/>
    <w:rsid w:val="532A571B"/>
    <w:rsid w:val="533A7469"/>
    <w:rsid w:val="53526129"/>
    <w:rsid w:val="538B4CD8"/>
    <w:rsid w:val="53A21BCD"/>
    <w:rsid w:val="54394F3D"/>
    <w:rsid w:val="565F61A9"/>
    <w:rsid w:val="56A874FB"/>
    <w:rsid w:val="56AD4B11"/>
    <w:rsid w:val="57232FC4"/>
    <w:rsid w:val="572D2326"/>
    <w:rsid w:val="57365691"/>
    <w:rsid w:val="57743881"/>
    <w:rsid w:val="585A5D8F"/>
    <w:rsid w:val="59EE1E48"/>
    <w:rsid w:val="5A490F5C"/>
    <w:rsid w:val="5B805E16"/>
    <w:rsid w:val="5BD21464"/>
    <w:rsid w:val="5BDE2B83"/>
    <w:rsid w:val="5C221AFD"/>
    <w:rsid w:val="5C777282"/>
    <w:rsid w:val="5F8646A4"/>
    <w:rsid w:val="61635F72"/>
    <w:rsid w:val="618606C5"/>
    <w:rsid w:val="6224402D"/>
    <w:rsid w:val="6384067A"/>
    <w:rsid w:val="638D125E"/>
    <w:rsid w:val="6396333E"/>
    <w:rsid w:val="63E114D3"/>
    <w:rsid w:val="69801C11"/>
    <w:rsid w:val="6AD46D46"/>
    <w:rsid w:val="6B07083C"/>
    <w:rsid w:val="6B623CC4"/>
    <w:rsid w:val="6B6C65E0"/>
    <w:rsid w:val="6C2B67AC"/>
    <w:rsid w:val="6D840861"/>
    <w:rsid w:val="6D8F68C7"/>
    <w:rsid w:val="6DE07909"/>
    <w:rsid w:val="6E58438A"/>
    <w:rsid w:val="6E7066F8"/>
    <w:rsid w:val="6E9D5508"/>
    <w:rsid w:val="6F871359"/>
    <w:rsid w:val="706B4115"/>
    <w:rsid w:val="711B7F18"/>
    <w:rsid w:val="71EB22B3"/>
    <w:rsid w:val="72010FA6"/>
    <w:rsid w:val="728C5ACB"/>
    <w:rsid w:val="733F48EB"/>
    <w:rsid w:val="74212849"/>
    <w:rsid w:val="744C1D4E"/>
    <w:rsid w:val="748A4F72"/>
    <w:rsid w:val="74961819"/>
    <w:rsid w:val="74E50987"/>
    <w:rsid w:val="74FE723F"/>
    <w:rsid w:val="750202C6"/>
    <w:rsid w:val="75664078"/>
    <w:rsid w:val="761E4132"/>
    <w:rsid w:val="78061A79"/>
    <w:rsid w:val="787B0181"/>
    <w:rsid w:val="79181486"/>
    <w:rsid w:val="7AFE508C"/>
    <w:rsid w:val="7B2561EC"/>
    <w:rsid w:val="7BC003CA"/>
    <w:rsid w:val="7C1A4147"/>
    <w:rsid w:val="7CBF4BB4"/>
    <w:rsid w:val="7E53749D"/>
    <w:rsid w:val="7E5D346D"/>
    <w:rsid w:val="7FDB1E88"/>
    <w:rsid w:val="FFDF9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Lines="50"/>
      <w:outlineLvl w:val="1"/>
    </w:pPr>
    <w:rPr>
      <w:rFonts w:ascii="Arial" w:hAnsi="Arial" w:eastAsia="楷体_GB2312"/>
      <w:b/>
      <w:sz w:val="32"/>
    </w:rPr>
  </w:style>
  <w:style w:type="paragraph" w:styleId="2">
    <w:name w:val="heading 3"/>
    <w:basedOn w:val="1"/>
    <w:next w:val="1"/>
    <w:unhideWhenUsed/>
    <w:qFormat/>
    <w:uiPriority w:val="9"/>
    <w:pPr>
      <w:keepNext/>
      <w:keepLines/>
      <w:spacing w:before="140"/>
      <w:outlineLvl w:val="2"/>
    </w:pPr>
    <w:rPr>
      <w:b/>
      <w:bCs/>
      <w:sz w:val="30"/>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pPr>
      <w:ind w:firstLine="640" w:firstLine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jc w:val="center"/>
    </w:pPr>
    <w:rPr>
      <w:b/>
      <w:sz w:val="44"/>
    </w:rPr>
  </w:style>
  <w:style w:type="paragraph" w:styleId="10">
    <w:name w:val="Balloon Text"/>
    <w:basedOn w:val="1"/>
    <w:link w:val="29"/>
    <w:semiHidden/>
    <w:unhideWhenUsed/>
    <w:qFormat/>
    <w:uiPriority w:val="99"/>
    <w:pPr>
      <w:spacing w:line="240" w:lineRule="auto"/>
    </w:pPr>
    <w:rPr>
      <w:sz w:val="18"/>
      <w:szCs w:val="18"/>
    </w:rPr>
  </w:style>
  <w:style w:type="paragraph" w:styleId="11">
    <w:name w:val="footer"/>
    <w:basedOn w:val="1"/>
    <w:link w:val="25"/>
    <w:unhideWhenUsed/>
    <w:qFormat/>
    <w:uiPriority w:val="99"/>
    <w:pPr>
      <w:tabs>
        <w:tab w:val="center" w:pos="4153"/>
        <w:tab w:val="right" w:pos="8306"/>
      </w:tabs>
      <w:jc w:val="left"/>
    </w:pPr>
    <w:rPr>
      <w:sz w:val="18"/>
      <w:szCs w:val="18"/>
    </w:rPr>
  </w:style>
  <w:style w:type="paragraph" w:styleId="12">
    <w:name w:val="header"/>
    <w:basedOn w:val="1"/>
    <w:link w:val="26"/>
    <w:unhideWhenUsed/>
    <w:qFormat/>
    <w:uiPriority w:val="99"/>
    <w:pPr>
      <w:pBdr>
        <w:bottom w:val="single" w:color="auto" w:sz="6" w:space="1"/>
      </w:pBdr>
      <w:tabs>
        <w:tab w:val="center" w:pos="4153"/>
        <w:tab w:val="right" w:pos="8306"/>
      </w:tabs>
      <w:jc w:val="center"/>
    </w:pPr>
    <w:rPr>
      <w:sz w:val="18"/>
      <w:szCs w:val="18"/>
    </w:rPr>
  </w:style>
  <w:style w:type="paragraph" w:styleId="13">
    <w:name w:val="footnote text"/>
    <w:basedOn w:val="1"/>
    <w:next w:val="14"/>
    <w:qFormat/>
    <w:uiPriority w:val="0"/>
    <w:pPr>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rFonts w:cs="Times New Roman"/>
      <w:sz w:val="24"/>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character" w:styleId="23">
    <w:name w:val="annotation reference"/>
    <w:basedOn w:val="20"/>
    <w:semiHidden/>
    <w:unhideWhenUsed/>
    <w:qFormat/>
    <w:uiPriority w:val="99"/>
    <w:rPr>
      <w:sz w:val="21"/>
      <w:szCs w:val="21"/>
    </w:rPr>
  </w:style>
  <w:style w:type="paragraph" w:customStyle="1" w:styleId="24">
    <w:name w:val="列出段落1"/>
    <w:basedOn w:val="1"/>
    <w:unhideWhenUsed/>
    <w:qFormat/>
    <w:uiPriority w:val="99"/>
    <w:pPr>
      <w:ind w:firstLine="420"/>
    </w:pPr>
  </w:style>
  <w:style w:type="character" w:customStyle="1" w:styleId="25">
    <w:name w:val="页脚 Char"/>
    <w:basedOn w:val="20"/>
    <w:link w:val="11"/>
    <w:qFormat/>
    <w:uiPriority w:val="99"/>
    <w:rPr>
      <w:sz w:val="18"/>
      <w:szCs w:val="18"/>
    </w:rPr>
  </w:style>
  <w:style w:type="character" w:customStyle="1" w:styleId="26">
    <w:name w:val="页眉 Char"/>
    <w:basedOn w:val="20"/>
    <w:link w:val="12"/>
    <w:qFormat/>
    <w:uiPriority w:val="99"/>
    <w:rPr>
      <w:sz w:val="18"/>
      <w:szCs w:val="18"/>
    </w:rPr>
  </w:style>
  <w:style w:type="paragraph" w:customStyle="1" w:styleId="27">
    <w:name w:val="WPSOffice手动目录 1"/>
    <w:qFormat/>
    <w:uiPriority w:val="0"/>
    <w:rPr>
      <w:rFonts w:asciiTheme="minorHAnsi" w:hAnsiTheme="minorHAnsi" w:eastAsiaTheme="minorEastAsia" w:cstheme="minorBidi"/>
      <w:lang w:val="en-US" w:eastAsia="zh-CN" w:bidi="ar-SA"/>
    </w:rPr>
  </w:style>
  <w:style w:type="paragraph" w:customStyle="1" w:styleId="28">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29">
    <w:name w:val="批注框文本 Char"/>
    <w:basedOn w:val="20"/>
    <w:link w:val="10"/>
    <w:semiHidden/>
    <w:qFormat/>
    <w:uiPriority w:val="99"/>
    <w:rPr>
      <w:rFonts w:ascii="仿宋_GB2312" w:hAnsi="仿宋_GB2312" w:eastAsia="仿宋" w:cs="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市直单位</Company>
  <Pages>13</Pages>
  <Words>7055</Words>
  <Characters>7515</Characters>
  <Lines>57</Lines>
  <Paragraphs>16</Paragraphs>
  <TotalTime>13</TotalTime>
  <ScaleCrop>false</ScaleCrop>
  <LinksUpToDate>false</LinksUpToDate>
  <CharactersWithSpaces>7522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2024-11-22T04:40:05Z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