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00EC5">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7CA4B469">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9FC1E5F">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DD0F8EB">
      <w:pPr>
        <w:pStyle w:val="2"/>
        <w:bidi w:val="0"/>
        <w:rPr>
          <w:rFonts w:hint="eastAsia"/>
          <w:color w:val="auto"/>
          <w:highlight w:val="none"/>
          <w:lang w:val="en-US" w:eastAsia="zh-CN"/>
        </w:rPr>
      </w:pPr>
      <w:r>
        <w:rPr>
          <w:rFonts w:hint="eastAsia"/>
          <w:color w:val="auto"/>
          <w:highlight w:val="none"/>
          <w:lang w:val="en-US" w:eastAsia="zh-CN"/>
        </w:rPr>
        <w:t>1.部门主要职能</w:t>
      </w:r>
    </w:p>
    <w:p w14:paraId="359CFAC4">
      <w:pPr>
        <w:bidi w:val="0"/>
        <w:rPr>
          <w:rFonts w:hint="default"/>
          <w:color w:val="auto"/>
          <w:highlight w:val="none"/>
          <w:lang w:val="en-US" w:eastAsia="zh-CN"/>
        </w:rPr>
      </w:pPr>
      <w:r>
        <w:rPr>
          <w:rFonts w:hint="eastAsia"/>
          <w:color w:val="auto"/>
          <w:highlight w:val="none"/>
          <w:lang w:val="en-US" w:eastAsia="zh-CN"/>
        </w:rPr>
        <w:t>和静县妇女联合会是党政群团工作部门，为正科级。单位主要负责紧密围绕县委、县政府的中心任务开展工作，团结、动员妇女投身改革开放和社会主义经济建设、政治建设、文化建设、社会建设和生态文明建设，在中国特色社会主义伟大实践中发挥积极作用；代表妇女参与国家和社会事务的民主决策、民主管理、民主监督，参与有关法律法规、规章和政策的制定，参与社会管理和公共服务，推动保障妇女权益的法律政策和妇女、儿童发展纲要的实施；维护妇女儿童合法权益，倾听妇女意见，反映妇女诉求，向各级国家机关提出有关建议，要求并协助有关部门或单位查处侵害妇女儿童权益的行为，为受侵害的妇女儿童提供帮助；教育和引导广大妇女践行社会主义核心价值观，发扬自尊、自信、自立、自强的精神，提高综合素质，实现全面发展。宣传马克思主义妇女观，推动落实男女平等基本国策，营造有利于妇女全面发展的社会环境。宣传表彰优秀妇女典型，培养、推荐女性人才；关心妇女工作生活，拓宽服务渠道，建设服务阵地，发展公益事业，壮大巾帼志愿者队伍，加强妇女之家建设。加强与女性社会组织和社会各界的联系，推动全社会为妇女儿童和家庭服务；巩固和扩大各族各界妇女的大团结。加强同香港特别行政区、澳门特别行政区、台湾地区及海外华侨华人妇女、妇女组织的联谊，促进祖国和平统一大业；积极发展同世界各国妇女和妇女组织的友好交往，加深了解、增进友谊、促进合作，为维护世界和平作贡献；受县政府委托，承担县政府妇女儿童工作委员会办公室工作，主要负责编制县妇女儿童发展中长期规划并组织实施和监测评估等；承办政府及上级主管部门交代的其他工作。</w:t>
      </w:r>
    </w:p>
    <w:p w14:paraId="3CEF1E9B">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47050507">
      <w:pPr>
        <w:bidi w:val="0"/>
        <w:rPr>
          <w:rFonts w:hint="eastAsia"/>
          <w:color w:val="auto"/>
          <w:highlight w:val="none"/>
          <w:lang w:val="en-US" w:eastAsia="zh-CN"/>
        </w:rPr>
      </w:pPr>
      <w:r>
        <w:rPr>
          <w:rFonts w:hint="eastAsia"/>
          <w:color w:val="auto"/>
          <w:highlight w:val="none"/>
          <w:lang w:val="en-US" w:eastAsia="zh-CN"/>
        </w:rPr>
        <w:t>和静县妇女联合会机构设置：无下属预算单位，内设1个科室：办公室。和静县妇女联合会人员总数10名，其中：在职9名，退休1名，离休0名。实有人员10人。</w:t>
      </w:r>
    </w:p>
    <w:p w14:paraId="74781623">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6AC457B8">
      <w:pPr>
        <w:bidi w:val="0"/>
        <w:rPr>
          <w:rFonts w:hint="eastAsia"/>
          <w:color w:val="auto"/>
          <w:highlight w:val="none"/>
          <w:lang w:val="en-US" w:eastAsia="zh-CN"/>
        </w:rPr>
      </w:pPr>
      <w:r>
        <w:rPr>
          <w:rFonts w:hint="eastAsia"/>
          <w:color w:val="auto"/>
          <w:highlight w:val="none"/>
          <w:lang w:val="en-US" w:eastAsia="zh-CN"/>
        </w:rPr>
        <w:t>1、加强妇女群体思想教育。依托“妇女之家”“儿童之家”“家长学校”、农牧民夜校等阵地，动员全县各乡镇、村（社区）妇联积极开展“文化润疆”大宣讲活动200余场次，传播正能量，讲好新疆故事，引领各族妇女听党话、感党恩、跟党走。在全县开展“雨润家国情”“石榴花”“石榴花·小手拉大手”学用国家通用语言文字活动。</w:t>
      </w:r>
    </w:p>
    <w:p w14:paraId="5CA165CB">
      <w:pPr>
        <w:bidi w:val="0"/>
        <w:rPr>
          <w:rFonts w:hint="eastAsia"/>
          <w:color w:val="auto"/>
          <w:highlight w:val="none"/>
          <w:lang w:val="en-US" w:eastAsia="zh-CN"/>
        </w:rPr>
      </w:pPr>
      <w:r>
        <w:rPr>
          <w:rFonts w:hint="eastAsia"/>
          <w:color w:val="auto"/>
          <w:highlight w:val="none"/>
          <w:lang w:val="en-US" w:eastAsia="zh-CN"/>
        </w:rPr>
        <w:t>2、推进“美丽庭院”建设。为充分发挥妇女在乡村振兴中的积极作用，发挥先进妇女典型的榜样引领作用，组织各级“石榴花”巾帼志愿服务队参与环境治理等志愿服务活动，激励各族妇女在社会稳定、民族团结和乡村振兴中发挥更大作用。开展“美丽庭院”动态创建工作，按照“优秀”“良好”“合格”等次，激励广大农牧民群众参与“美丽庭院”创建工作，2023年创建县级“美丽庭院示范户”300户，评选县级“最美家庭”72户、“好婆婆”9个、“好儿媳”17个、“最美（爸爸）妈妈”12个。</w:t>
      </w:r>
    </w:p>
    <w:p w14:paraId="1618ECA1">
      <w:pPr>
        <w:bidi w:val="0"/>
        <w:rPr>
          <w:rFonts w:hint="eastAsia"/>
          <w:color w:val="auto"/>
          <w:highlight w:val="none"/>
          <w:lang w:val="en-US" w:eastAsia="zh-CN"/>
        </w:rPr>
      </w:pPr>
      <w:r>
        <w:rPr>
          <w:rFonts w:hint="eastAsia"/>
          <w:color w:val="auto"/>
          <w:highlight w:val="none"/>
          <w:lang w:val="en-US" w:eastAsia="zh-CN"/>
        </w:rPr>
        <w:t>3、深化家庭教育。关于“注重家庭、注重家教、注重家风”的重要指示，以促进儿童身心健康为目标，以提高家长素质为主线，以家长学校为阵地，以特色活动为载体，不断增强学校、社会、家庭三结合教育工作力度，推动我县家庭教育工作发展。全县各级妇联利用“三八”“六一”等节日期间组织宣传、咨询活动，截至目前各级妇联组织家庭教育宣传活动100余场次，发放宣传资料5000余份。开展“石榴花最美家庭”邯郸行融情交流活动，加强各民族交往交流交融，召开“弘扬优良家风 倡树新时代家庭观——和静县家风家教宣传月启动仪式”。</w:t>
      </w:r>
    </w:p>
    <w:p w14:paraId="46DE42AA">
      <w:pPr>
        <w:bidi w:val="0"/>
        <w:rPr>
          <w:rFonts w:hint="eastAsia"/>
          <w:color w:val="auto"/>
          <w:highlight w:val="none"/>
          <w:lang w:val="en-US" w:eastAsia="zh-CN"/>
        </w:rPr>
      </w:pPr>
      <w:r>
        <w:rPr>
          <w:rFonts w:hint="eastAsia"/>
          <w:color w:val="auto"/>
          <w:highlight w:val="none"/>
          <w:lang w:val="en-US" w:eastAsia="zh-CN"/>
        </w:rPr>
        <w:t>4、聚焦妇女儿童维权服务。成立由综治、妇联、法院、公安、民政、司法共同组成的6+X模式的和静县婚姻家庭纠纷预防化解工作领导小组，通过多部门协调联动，形成合力，引导群众合力表达诉求，解决矛盾隐患。充分发挥16名心理咨询师、12名法律专业工作者组成志愿服务队专业优势，每月至少开展一次活动，同时，今年县妇联聘请1名专业律师，参与法治宣传、纠纷化解、心理疏导等专业化维权服务，提升妇联维权服务提质增效。今年以来，县级层面共接待婚姻家庭矛盾纠纷3件，均已化解。</w:t>
      </w:r>
    </w:p>
    <w:p w14:paraId="43C557A4">
      <w:pPr>
        <w:bidi w:val="0"/>
        <w:rPr>
          <w:rFonts w:hint="eastAsia"/>
          <w:color w:val="auto"/>
          <w:highlight w:val="none"/>
          <w:lang w:val="en-US" w:eastAsia="zh-CN"/>
        </w:rPr>
      </w:pPr>
      <w:r>
        <w:rPr>
          <w:rFonts w:hint="eastAsia"/>
          <w:color w:val="auto"/>
          <w:highlight w:val="none"/>
          <w:lang w:val="en-US" w:eastAsia="zh-CN"/>
        </w:rPr>
        <w:t>5、深化就业创业服务。坚持就业优先的工作部署，拓宽女性就业渠道，组织各乡镇有就业需求妇女70余人参加此次招聘会，通过在用人单位和广大女性之间搭建桥梁，帮助女性就近就业，解决本地企业用工需求，达成就业意向192人次。</w:t>
      </w:r>
    </w:p>
    <w:p w14:paraId="2C8A20D6">
      <w:pPr>
        <w:bidi w:val="0"/>
        <w:rPr>
          <w:rFonts w:hint="eastAsia"/>
          <w:color w:val="auto"/>
          <w:highlight w:val="none"/>
          <w:lang w:val="en-US" w:eastAsia="zh-CN"/>
        </w:rPr>
      </w:pPr>
      <w:r>
        <w:rPr>
          <w:rFonts w:hint="eastAsia"/>
          <w:color w:val="auto"/>
          <w:highlight w:val="none"/>
          <w:lang w:val="en-US" w:eastAsia="zh-CN"/>
        </w:rPr>
        <w:t>6、加强困难群体关心关爱。为42名困难妇女儿童发放救助资金98000元，其中包括扶贫创业类6人；助残类6人；恤病类10人；扶老类10人，困难小学生10人。为25名初、高中生发放救助资金20000元，其中每人800元。举办自治区妇联“春蕾计划—情暖乡间特别行动”石榴籽·春蕾书包发放仪式，共为和静县第四中学、和静县第五中学共200名女童发放春蕾书包。举行“筑未来—女童成长能量包”发放仪式暨“守护少年的你”宣讲活动。为25名贫困家庭中学生发放救助金2万元。为现场20名女童发放中国儿童少年基金会“筑未来—女童成长能量包”，贴合青春期女童发展需求宣讲《中华人民共和国未成年人保护法》，讲述“认识我们的身体”“如何分辨和防范性侵害”“遇到性侵时该做什么”等知识，现场发放宣传手册并结合实际案例讲解，呼吁全社会关注女童成长。为33名大学生发放救助金9.9万元，为9名妇女发放“两癌”救助金9万元；为280名女童发放了“春蕾书包”。</w:t>
      </w:r>
    </w:p>
    <w:p w14:paraId="4772A39A">
      <w:pPr>
        <w:bidi w:val="0"/>
        <w:rPr>
          <w:rFonts w:hint="eastAsia"/>
          <w:color w:val="auto"/>
          <w:highlight w:val="none"/>
          <w:lang w:val="en-US" w:eastAsia="zh-CN"/>
        </w:rPr>
      </w:pPr>
      <w:r>
        <w:rPr>
          <w:rFonts w:hint="eastAsia"/>
          <w:color w:val="auto"/>
          <w:highlight w:val="none"/>
          <w:lang w:val="en-US" w:eastAsia="zh-CN"/>
        </w:rPr>
        <w:t>7、健全妇儿工委工作机制，推动规划顺利实施。进一步加强宣传培训，营造妇女儿童工作的良好社会环境。开展全面推进实施妇女儿童发展纲要专题培训，进一步强化实施“两规划”，切实落实“四个纳入”，巩固“两规划”示范引领，扩大示范效应，召开了“两规划”中期评估工作推进会。自治区妇儿工委将和静县列为自治区实施“妇女儿童发展规划示范县”。召开了巴州友好社区现场会，全面总结了儿童友好社区建设情况，安排部署下一步工作任务。</w:t>
      </w:r>
    </w:p>
    <w:p w14:paraId="17F31C7B">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15DA225">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790627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7AEB4C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我单位年初预算数为179.24万元，实际预算执行数179.24万元，预算执行率为100%。</w:t>
      </w:r>
    </w:p>
    <w:p w14:paraId="13A7F26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844AB3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全年预算数为185.14万元，全年实际支出资金185.14万元，预算执行率为100%。</w:t>
      </w:r>
    </w:p>
    <w:p w14:paraId="42B1CE29">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63FE8651">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179.24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185.14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3.29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3.29</w:t>
      </w:r>
      <w:r>
        <w:rPr>
          <w:rFonts w:hint="eastAsia" w:ascii="Times New Roman" w:hAnsi="Times New Roman" w:cs="Times New Roman"/>
          <w:bCs/>
          <w:color w:val="auto"/>
          <w:highlight w:val="none"/>
          <w:lang w:eastAsia="zh-CN"/>
        </w:rPr>
        <w:t>%。）</w:t>
      </w:r>
    </w:p>
    <w:p w14:paraId="29072AB0">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B873065">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185.14</w:t>
      </w:r>
      <w:r>
        <w:rPr>
          <w:rFonts w:hint="default"/>
          <w:color w:val="auto"/>
          <w:highlight w:val="none"/>
          <w:lang w:val="en-US" w:eastAsia="zh-CN"/>
        </w:rPr>
        <w:t>万元，其中：</w:t>
      </w:r>
    </w:p>
    <w:p w14:paraId="63685A3F">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180.14</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171.05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9.09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4ADFE640">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5</w:t>
      </w:r>
      <w:r>
        <w:rPr>
          <w:rFonts w:hint="default"/>
          <w:color w:val="auto"/>
          <w:highlight w:val="none"/>
          <w:lang w:val="en-US" w:eastAsia="zh-CN"/>
        </w:rPr>
        <w:t>万元，主要用于保障妇女儿童工作经费（人均一元钱）项目支出。</w:t>
      </w:r>
    </w:p>
    <w:p w14:paraId="4F3F96E7">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E1CAF9D">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3B8B5D3">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180.14万元，全年实际支出180.14万元，资金执行率100%。基本支出严格按照财务管理制度执行，其中：</w:t>
      </w:r>
    </w:p>
    <w:p w14:paraId="097B0E03">
      <w:pPr>
        <w:bidi w:val="0"/>
        <w:rPr>
          <w:rFonts w:hint="eastAsia"/>
          <w:color w:val="auto"/>
          <w:highlight w:val="none"/>
          <w:lang w:val="en-US" w:eastAsia="zh-CN"/>
        </w:rPr>
      </w:pPr>
      <w:r>
        <w:rPr>
          <w:rFonts w:hint="eastAsia"/>
          <w:color w:val="auto"/>
          <w:highlight w:val="none"/>
          <w:lang w:val="en-US" w:eastAsia="zh-CN"/>
        </w:rPr>
        <w:t>人员经费支出171.05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3D387641">
      <w:pPr>
        <w:bidi w:val="0"/>
        <w:rPr>
          <w:rFonts w:hint="eastAsia"/>
          <w:color w:val="auto"/>
          <w:highlight w:val="none"/>
          <w:lang w:val="en-US" w:eastAsia="zh-CN"/>
        </w:rPr>
      </w:pPr>
      <w:r>
        <w:rPr>
          <w:rFonts w:hint="eastAsia"/>
          <w:color w:val="auto"/>
          <w:highlight w:val="none"/>
          <w:lang w:val="en-US" w:eastAsia="zh-CN"/>
        </w:rPr>
        <w:t>公用经费支出9.09万元，主要包括：办公费、印刷费、水费、电费、邮电费、物业管理费、差旅费、培训费、公务接待费、工会经费、公务用车运行维护费、其他商品和服务支出。</w:t>
      </w:r>
    </w:p>
    <w:p w14:paraId="173791F6">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2572B658">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18DD5230">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项目支出预算5</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其中：上级专项资金0万元，本级财政资金5万元</w:t>
      </w:r>
      <w:r>
        <w:rPr>
          <w:rFonts w:hint="eastAsia"/>
          <w:color w:val="auto"/>
          <w:highlight w:val="none"/>
          <w:lang w:eastAsia="zh-CN"/>
        </w:rPr>
        <w:t>。</w:t>
      </w:r>
    </w:p>
    <w:p w14:paraId="382215D6">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6ECD3215">
      <w:pPr>
        <w:pStyle w:val="2"/>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（1）资金管理情况。我单位项目资金全部按财政国库集中支付制度要求使用和拨付，通过财政直接支付方式拨给项目实施单位。在拨付过程中严把监督审核关，建立健全内部审批制度，财务做好项目</w:t>
      </w:r>
      <w:r>
        <w:rPr>
          <w:rFonts w:hint="eastAsia" w:cs="仿宋_GB2312"/>
          <w:b w:val="0"/>
          <w:bCs w:val="0"/>
          <w:color w:val="auto"/>
          <w:kern w:val="2"/>
          <w:sz w:val="28"/>
          <w:szCs w:val="24"/>
          <w:highlight w:val="none"/>
          <w:lang w:val="en-US" w:eastAsia="zh-CN" w:bidi="ar-SA"/>
        </w:rPr>
        <w:t>专账</w:t>
      </w:r>
      <w:r>
        <w:rPr>
          <w:rFonts w:hint="eastAsia" w:ascii="仿宋_GB2312" w:hAnsi="仿宋_GB2312" w:eastAsia="仿宋" w:cs="仿宋_GB2312"/>
          <w:b w:val="0"/>
          <w:bCs w:val="0"/>
          <w:color w:val="auto"/>
          <w:kern w:val="2"/>
          <w:sz w:val="28"/>
          <w:szCs w:val="24"/>
          <w:highlight w:val="none"/>
          <w:lang w:val="en-US" w:eastAsia="zh-CN" w:bidi="ar-SA"/>
        </w:rPr>
        <w:t>，严格实行专款专用，保证资金及时足额用到项目中。2023年本级财政下达我单位专项资金5万元，其中妇女儿童工作经费（人均一元钱）项目资金5万元通过财政国库集中支付方式直接拨给项目实施单位。</w:t>
      </w:r>
    </w:p>
    <w:p w14:paraId="599C2154">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妇女儿童工作经费（人均一元钱）项目制定工作方案，明确时间节点，开展项目规划设计、部署工作，认真落实项目任务。工作中突出重点，高标准规划、精细设计，明确由分管领导负责监督，并在规定时间完成项目实施。对打造县级“儿童之家”1个，创建县级“美丽庭院”示范户300户，命名县级“最美家庭”100户，印制宣传单5000份，举办宣传活动12场次等任务指标，明确制定具体工作计划，指定专人负责实施，确保妇女儿童工作经费（人均一元钱）项目目标得到有效落实。</w:t>
      </w:r>
    </w:p>
    <w:p w14:paraId="20AB18E4">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09A67BF">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度安排项目支出资金5万元，</w:t>
      </w:r>
      <w:r>
        <w:rPr>
          <w:rFonts w:hint="eastAsia"/>
          <w:color w:val="auto"/>
          <w:highlight w:val="none"/>
          <w:lang w:eastAsia="zh-CN"/>
        </w:rPr>
        <w:t>实际</w:t>
      </w:r>
      <w:r>
        <w:rPr>
          <w:rFonts w:hint="eastAsia"/>
          <w:color w:val="auto"/>
          <w:highlight w:val="none"/>
          <w:lang w:val="en-US" w:eastAsia="zh-CN"/>
        </w:rPr>
        <w:t>支出5</w:t>
      </w:r>
      <w:r>
        <w:rPr>
          <w:rFonts w:hint="eastAsia"/>
          <w:color w:val="auto"/>
          <w:highlight w:val="none"/>
          <w:lang w:eastAsia="zh-CN"/>
        </w:rPr>
        <w:t>万元，</w:t>
      </w:r>
      <w:r>
        <w:rPr>
          <w:rFonts w:hint="eastAsia"/>
          <w:color w:val="auto"/>
          <w:highlight w:val="none"/>
          <w:lang w:val="en-US" w:eastAsia="zh-CN"/>
        </w:rPr>
        <w:t>其中：上级专项资金支出0万元，本级财政安排项目资金支出5万元，项目预算资金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18C57B57">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）：其他群众团体事务支出5</w:t>
      </w:r>
      <w:r>
        <w:rPr>
          <w:rFonts w:hint="default"/>
          <w:color w:val="auto"/>
          <w:highlight w:val="none"/>
          <w:lang w:val="en-US" w:eastAsia="zh-CN"/>
        </w:rPr>
        <w:t>万元</w:t>
      </w:r>
      <w:r>
        <w:rPr>
          <w:rFonts w:hint="eastAsia"/>
          <w:color w:val="auto"/>
          <w:highlight w:val="none"/>
          <w:lang w:val="en-US" w:eastAsia="zh-CN"/>
        </w:rPr>
        <w:t>。</w:t>
      </w:r>
    </w:p>
    <w:bookmarkEnd w:id="2"/>
    <w:p w14:paraId="0E210239">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AD7CF5E">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40C6FF54">
      <w:pPr>
        <w:pStyle w:val="2"/>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eastAsia="zh-CN"/>
        </w:rPr>
        <w:t>（</w:t>
      </w:r>
      <w:r>
        <w:rPr>
          <w:rFonts w:hint="eastAsia"/>
          <w:color w:val="auto"/>
          <w:highlight w:val="none"/>
          <w:lang w:val="en-US" w:eastAsia="zh-CN"/>
        </w:rPr>
        <w:t>一）基本预算执行率</w:t>
      </w:r>
      <w:r>
        <w:rPr>
          <w:rFonts w:hint="eastAsia"/>
          <w:color w:val="auto"/>
          <w:highlight w:val="none"/>
        </w:rPr>
        <w:t>指标完成情况分析</w:t>
      </w:r>
      <w:r>
        <w:rPr>
          <w:rFonts w:hint="eastAsia"/>
          <w:color w:val="auto"/>
          <w:highlight w:val="none"/>
          <w:lang w:val="en-US" w:eastAsia="zh-CN"/>
        </w:rPr>
        <w:t>）基本预算</w:t>
      </w:r>
      <w:r>
        <w:rPr>
          <w:rFonts w:hint="eastAsia"/>
          <w:color w:val="auto"/>
          <w:highlight w:val="none"/>
        </w:rPr>
        <w:t>完成分</w:t>
      </w:r>
      <w:r>
        <w:rPr>
          <w:rFonts w:hint="eastAsia" w:ascii="仿宋_GB2312" w:hAnsi="仿宋_GB2312" w:eastAsia="仿宋" w:cs="仿宋_GB2312"/>
          <w:b w:val="0"/>
          <w:bCs w:val="0"/>
          <w:color w:val="auto"/>
          <w:kern w:val="2"/>
          <w:sz w:val="28"/>
          <w:szCs w:val="24"/>
          <w:highlight w:val="none"/>
          <w:lang w:val="en-US" w:eastAsia="zh-CN" w:bidi="ar-SA"/>
        </w:rPr>
        <w:t>基本预算执行率指标年初设定目标是=100%，年中绩效运行监控时完成值49.57%，年终实际完成值是100%，指标完成率是100%，达到足额保障我单位9名在职人员工资、社保医保、住房公积金支出，1名退休人员及1名遗属的工资（补助）支出，保障我单位1辆公务用车正常运转的预期目标。偏差原因：无偏差。</w:t>
      </w:r>
    </w:p>
    <w:p w14:paraId="2B25ADAA">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二）“三公经费”控制率</w:t>
      </w:r>
      <w:r>
        <w:rPr>
          <w:rFonts w:hint="eastAsia"/>
          <w:color w:val="auto"/>
          <w:highlight w:val="none"/>
        </w:rPr>
        <w:t>指标完成情况分析</w:t>
      </w:r>
    </w:p>
    <w:p w14:paraId="0E25B0C4">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压缩“三公经费”，厉行节约、提高资金使用规范性和有效性的预期目标。偏差原因：无偏差。</w:t>
      </w:r>
    </w:p>
    <w:p w14:paraId="2DBEEB53">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三）全年全县实施“石榴花开耀天山”专项工程</w:t>
      </w:r>
      <w:r>
        <w:rPr>
          <w:rFonts w:hint="eastAsia"/>
          <w:color w:val="auto"/>
          <w:highlight w:val="none"/>
        </w:rPr>
        <w:t>指标完成情况分析</w:t>
      </w:r>
    </w:p>
    <w:p w14:paraId="72E4E00E">
      <w:pPr>
        <w:bidi w:val="0"/>
        <w:rPr>
          <w:rFonts w:hint="eastAsia"/>
          <w:color w:val="auto"/>
          <w:highlight w:val="none"/>
          <w:lang w:val="en-US" w:eastAsia="zh-CN"/>
        </w:rPr>
      </w:pPr>
      <w:r>
        <w:rPr>
          <w:rFonts w:hint="eastAsia"/>
          <w:color w:val="auto"/>
          <w:highlight w:val="none"/>
          <w:lang w:val="en-US" w:eastAsia="zh-CN"/>
        </w:rPr>
        <w:t>全年全县实施“石榴花开耀天山”专项工程指标年初设定目标是=20项，年中绩效运行监控时完成值12项，年终实际完成值是20项，指标完成率是100%，达到提高“石榴花”品牌的传播影响率，做好做实联系服务妇女工作，扎实推进文化润疆工程，有形有感有效铸牢中华民族共同体意识的预期目标。偏差原因：无偏差。</w:t>
      </w:r>
    </w:p>
    <w:p w14:paraId="010E9EE2">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四）编印宣传材料</w:t>
      </w:r>
      <w:r>
        <w:rPr>
          <w:rFonts w:hint="eastAsia"/>
          <w:color w:val="auto"/>
          <w:highlight w:val="none"/>
        </w:rPr>
        <w:t>指标完成情况分析</w:t>
      </w:r>
    </w:p>
    <w:p w14:paraId="36F2FBFE">
      <w:pPr>
        <w:bidi w:val="0"/>
        <w:rPr>
          <w:rFonts w:hint="eastAsia"/>
          <w:color w:val="auto"/>
          <w:highlight w:val="none"/>
          <w:lang w:val="en-US" w:eastAsia="zh-CN"/>
        </w:rPr>
      </w:pPr>
      <w:r>
        <w:rPr>
          <w:rFonts w:hint="eastAsia"/>
          <w:color w:val="auto"/>
          <w:highlight w:val="none"/>
          <w:lang w:val="en-US" w:eastAsia="zh-CN"/>
        </w:rPr>
        <w:t>编印宣传材料指标年初设定目标是≥5000份，年中绩效运行监控时完成值3500份，年终实际完成值是5000份，指标完成率是100%，达到加大对“两规划”重点内容和家庭教育知识的宣传力度的预期目标。偏差原因：无偏差。</w:t>
      </w:r>
    </w:p>
    <w:p w14:paraId="1D672962">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五）创建县级“美丽庭院示范户”</w:t>
      </w:r>
      <w:r>
        <w:rPr>
          <w:rFonts w:hint="eastAsia"/>
          <w:color w:val="auto"/>
          <w:highlight w:val="none"/>
        </w:rPr>
        <w:t>指标完成情况分析</w:t>
      </w:r>
    </w:p>
    <w:p w14:paraId="147E6C7B">
      <w:pPr>
        <w:bidi w:val="0"/>
        <w:rPr>
          <w:rFonts w:hint="eastAsia"/>
          <w:color w:val="auto"/>
          <w:highlight w:val="none"/>
          <w:lang w:val="en-US" w:eastAsia="zh-CN"/>
        </w:rPr>
      </w:pPr>
      <w:r>
        <w:rPr>
          <w:rFonts w:hint="eastAsia"/>
          <w:color w:val="auto"/>
          <w:highlight w:val="none"/>
          <w:lang w:val="en-US" w:eastAsia="zh-CN"/>
        </w:rPr>
        <w:t>创建县级“美丽庭院示范户”数指标年初设定目标是≥300户，年中绩效运行监控时完成值300户，年终实际完成值是300户，指标完成率是100%，达到发挥典型示范引领作用，激发广大家庭参与乡村建设、人居环境和庭院建设活动的预期目标。偏差原因：无偏差。</w:t>
      </w:r>
    </w:p>
    <w:p w14:paraId="02E2BEA3">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六）命名县级“最美家庭”户数</w:t>
      </w:r>
      <w:r>
        <w:rPr>
          <w:rFonts w:hint="eastAsia"/>
          <w:color w:val="auto"/>
          <w:highlight w:val="none"/>
        </w:rPr>
        <w:t>指标完成情况分析</w:t>
      </w:r>
    </w:p>
    <w:p w14:paraId="7BBD71E9">
      <w:pPr>
        <w:bidi w:val="0"/>
        <w:rPr>
          <w:rFonts w:hint="eastAsia"/>
          <w:color w:val="auto"/>
          <w:highlight w:val="none"/>
          <w:lang w:val="en-US" w:eastAsia="zh-CN"/>
        </w:rPr>
      </w:pPr>
      <w:r>
        <w:rPr>
          <w:rFonts w:hint="eastAsia"/>
          <w:color w:val="auto"/>
          <w:highlight w:val="none"/>
          <w:lang w:val="en-US" w:eastAsia="zh-CN"/>
        </w:rPr>
        <w:t>命名县级“最美家庭”户数指标年初设定目标是≥100户，年中绩效运行监控时完成值100户，年终实际完成值是100户，指标完成率是100%，达到发挥典型示范引领作用，弘扬家庭美德、传播良好家风，推动家庭文明创建活动的预期目标。偏差原因：无偏差。</w:t>
      </w:r>
    </w:p>
    <w:p w14:paraId="7D3DE2DE">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七）打造“儿童之家”数量</w:t>
      </w:r>
      <w:r>
        <w:rPr>
          <w:rFonts w:hint="eastAsia"/>
          <w:color w:val="auto"/>
          <w:highlight w:val="none"/>
        </w:rPr>
        <w:t>指标完成情况分析</w:t>
      </w:r>
    </w:p>
    <w:p w14:paraId="45CACF37">
      <w:pPr>
        <w:bidi w:val="0"/>
        <w:rPr>
          <w:rFonts w:hint="eastAsia"/>
          <w:color w:val="auto"/>
          <w:highlight w:val="none"/>
          <w:lang w:val="en-US" w:eastAsia="zh-CN"/>
        </w:rPr>
      </w:pPr>
      <w:r>
        <w:rPr>
          <w:rFonts w:hint="eastAsia"/>
          <w:color w:val="auto"/>
          <w:highlight w:val="none"/>
          <w:lang w:val="en-US" w:eastAsia="zh-CN"/>
        </w:rPr>
        <w:t>打造“儿童之家”数量指标年初设定目标是≥1个，年中绩效运行监控时完成值1个，年终实际完成值是1个，指标完成率是100%，达到丰富儿童校外文化活动内容，提升儿童幸福感的预期目标。偏差原因：无偏差。</w:t>
      </w:r>
    </w:p>
    <w:p w14:paraId="7B78A601">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八）接访妇女儿童案件受理率</w:t>
      </w:r>
      <w:r>
        <w:rPr>
          <w:rFonts w:hint="eastAsia"/>
          <w:color w:val="auto"/>
          <w:highlight w:val="none"/>
        </w:rPr>
        <w:t>指标完成情况分析</w:t>
      </w:r>
    </w:p>
    <w:p w14:paraId="2BECA7C9">
      <w:pPr>
        <w:bidi w:val="0"/>
        <w:rPr>
          <w:rFonts w:hint="eastAsia"/>
          <w:color w:val="auto"/>
          <w:highlight w:val="none"/>
          <w:lang w:val="en-US" w:eastAsia="zh-CN"/>
        </w:rPr>
      </w:pPr>
      <w:r>
        <w:rPr>
          <w:rFonts w:hint="eastAsia"/>
          <w:color w:val="auto"/>
          <w:highlight w:val="none"/>
          <w:lang w:val="en-US" w:eastAsia="zh-CN"/>
        </w:rPr>
        <w:t>接访妇女儿童案件受理率指标年初设定目标是≥90%，年中绩效运行监控时完成值50%，年终实际完成值是90%，指标完成率是100%，达到提高为</w:t>
      </w:r>
      <w:r>
        <w:rPr>
          <w:rFonts w:hint="eastAsia"/>
          <w:color w:val="auto"/>
          <w:highlight w:val="none"/>
          <w:cs/>
          <w:lang w:val="en-US" w:eastAsia="zh-CN"/>
        </w:rPr>
        <w:t>‎</w:t>
      </w:r>
      <w:r>
        <w:rPr>
          <w:rFonts w:hint="eastAsia"/>
          <w:color w:val="auto"/>
          <w:highlight w:val="none"/>
          <w:lang w:val="en-US" w:eastAsia="zh-CN"/>
        </w:rPr>
        <w:t>妇女</w:t>
      </w:r>
      <w:r>
        <w:rPr>
          <w:rFonts w:hint="eastAsia"/>
          <w:color w:val="auto"/>
          <w:highlight w:val="none"/>
          <w:cs/>
          <w:lang w:val="en-US" w:eastAsia="zh-CN"/>
        </w:rPr>
        <w:t>‎</w:t>
      </w:r>
      <w:r>
        <w:rPr>
          <w:rFonts w:hint="eastAsia"/>
          <w:color w:val="auto"/>
          <w:highlight w:val="none"/>
          <w:lang w:val="en-US" w:eastAsia="zh-CN"/>
        </w:rPr>
        <w:t>提供法</w:t>
      </w:r>
      <w:r>
        <w:rPr>
          <w:rFonts w:hint="eastAsia"/>
          <w:color w:val="auto"/>
          <w:highlight w:val="none"/>
          <w:cs/>
          <w:lang w:val="en-US" w:eastAsia="zh-CN"/>
        </w:rPr>
        <w:t>‎</w:t>
      </w:r>
      <w:r>
        <w:rPr>
          <w:rFonts w:hint="eastAsia"/>
          <w:color w:val="auto"/>
          <w:highlight w:val="none"/>
          <w:lang w:val="en-US" w:eastAsia="zh-CN"/>
        </w:rPr>
        <w:t>律援</w:t>
      </w:r>
      <w:r>
        <w:rPr>
          <w:rFonts w:hint="eastAsia"/>
          <w:color w:val="auto"/>
          <w:highlight w:val="none"/>
          <w:cs/>
          <w:lang w:val="en-US" w:eastAsia="zh-CN"/>
        </w:rPr>
        <w:t>‎</w:t>
      </w:r>
      <w:r>
        <w:rPr>
          <w:rFonts w:hint="eastAsia"/>
          <w:color w:val="auto"/>
          <w:highlight w:val="none"/>
          <w:lang w:val="en-US" w:eastAsia="zh-CN"/>
        </w:rPr>
        <w:t>助、</w:t>
      </w:r>
      <w:r>
        <w:rPr>
          <w:rFonts w:hint="eastAsia"/>
          <w:color w:val="auto"/>
          <w:highlight w:val="none"/>
          <w:cs/>
          <w:lang w:val="en-US" w:eastAsia="zh-CN"/>
        </w:rPr>
        <w:t>‎</w:t>
      </w:r>
      <w:r>
        <w:rPr>
          <w:rFonts w:hint="eastAsia"/>
          <w:color w:val="auto"/>
          <w:highlight w:val="none"/>
          <w:lang w:val="en-US" w:eastAsia="zh-CN"/>
        </w:rPr>
        <w:t>妇女</w:t>
      </w:r>
      <w:r>
        <w:rPr>
          <w:rFonts w:hint="eastAsia"/>
          <w:color w:val="auto"/>
          <w:highlight w:val="none"/>
          <w:cs/>
          <w:lang w:val="en-US" w:eastAsia="zh-CN"/>
        </w:rPr>
        <w:t>‎</w:t>
      </w:r>
      <w:r>
        <w:rPr>
          <w:rFonts w:hint="eastAsia"/>
          <w:color w:val="auto"/>
          <w:highlight w:val="none"/>
          <w:lang w:val="en-US" w:eastAsia="zh-CN"/>
        </w:rPr>
        <w:t>维权</w:t>
      </w:r>
      <w:r>
        <w:rPr>
          <w:rFonts w:hint="eastAsia"/>
          <w:color w:val="auto"/>
          <w:highlight w:val="none"/>
          <w:cs/>
          <w:lang w:val="en-US" w:eastAsia="zh-CN"/>
        </w:rPr>
        <w:t>‎</w:t>
      </w:r>
      <w:r>
        <w:rPr>
          <w:rFonts w:hint="eastAsia"/>
          <w:color w:val="auto"/>
          <w:highlight w:val="none"/>
          <w:lang w:val="en-US" w:eastAsia="zh-CN"/>
        </w:rPr>
        <w:t>、职</w:t>
      </w:r>
      <w:r>
        <w:rPr>
          <w:rFonts w:hint="eastAsia"/>
          <w:color w:val="auto"/>
          <w:highlight w:val="none"/>
          <w:cs/>
          <w:lang w:val="en-US" w:eastAsia="zh-CN"/>
        </w:rPr>
        <w:t>‎</w:t>
      </w:r>
      <w:r>
        <w:rPr>
          <w:rFonts w:hint="eastAsia"/>
          <w:color w:val="auto"/>
          <w:highlight w:val="none"/>
          <w:lang w:val="en-US" w:eastAsia="zh-CN"/>
        </w:rPr>
        <w:t>工维</w:t>
      </w:r>
      <w:r>
        <w:rPr>
          <w:rFonts w:hint="eastAsia"/>
          <w:color w:val="auto"/>
          <w:highlight w:val="none"/>
          <w:cs/>
          <w:lang w:val="en-US" w:eastAsia="zh-CN"/>
        </w:rPr>
        <w:t>‎</w:t>
      </w:r>
      <w:r>
        <w:rPr>
          <w:rFonts w:hint="eastAsia"/>
          <w:color w:val="auto"/>
          <w:highlight w:val="none"/>
          <w:lang w:val="en-US" w:eastAsia="zh-CN"/>
        </w:rPr>
        <w:t>权等</w:t>
      </w:r>
      <w:r>
        <w:rPr>
          <w:rFonts w:hint="eastAsia"/>
          <w:color w:val="auto"/>
          <w:highlight w:val="none"/>
          <w:cs/>
          <w:lang w:val="en-US" w:eastAsia="zh-CN"/>
        </w:rPr>
        <w:t>‎</w:t>
      </w:r>
      <w:r>
        <w:rPr>
          <w:rFonts w:hint="eastAsia"/>
          <w:color w:val="auto"/>
          <w:highlight w:val="none"/>
          <w:lang w:val="en-US" w:eastAsia="zh-CN"/>
        </w:rPr>
        <w:t>服务效率，有效保障妇女合法权益的预期目标。偏差原因：无偏差。</w:t>
      </w:r>
    </w:p>
    <w:p w14:paraId="1337200E">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九）“两规划”宣传覆盖率</w:t>
      </w:r>
      <w:r>
        <w:rPr>
          <w:rFonts w:hint="eastAsia"/>
          <w:color w:val="auto"/>
          <w:highlight w:val="none"/>
        </w:rPr>
        <w:t>指标完成情况分析</w:t>
      </w:r>
    </w:p>
    <w:p w14:paraId="466C8B74">
      <w:pPr>
        <w:bidi w:val="0"/>
        <w:rPr>
          <w:rFonts w:hint="eastAsia"/>
          <w:color w:val="auto"/>
          <w:highlight w:val="none"/>
          <w:lang w:val="en-US" w:eastAsia="zh-CN"/>
        </w:rPr>
      </w:pPr>
      <w:r>
        <w:rPr>
          <w:rFonts w:hint="eastAsia"/>
          <w:color w:val="auto"/>
          <w:highlight w:val="none"/>
          <w:lang w:val="en-US" w:eastAsia="zh-CN"/>
        </w:rPr>
        <w:t>“两规划”宣传覆盖率指标年初设定目标是≥95%，年中绩效运行监控时完成值50%，年终实际完成值是95%，指标完成率是100%，达到提高“两规划”重点内容普及率、群众知晓率和参与率的预期目标。偏差原因：无偏差。</w:t>
      </w:r>
    </w:p>
    <w:p w14:paraId="25F7B5C3">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十）“石榴花”品牌的传播影响率</w:t>
      </w:r>
      <w:r>
        <w:rPr>
          <w:rFonts w:hint="eastAsia"/>
          <w:color w:val="auto"/>
          <w:highlight w:val="none"/>
        </w:rPr>
        <w:t>指标完成情况分析</w:t>
      </w:r>
    </w:p>
    <w:p w14:paraId="6376443F">
      <w:pPr>
        <w:bidi w:val="0"/>
        <w:rPr>
          <w:rFonts w:hint="eastAsia"/>
          <w:color w:val="auto"/>
          <w:highlight w:val="none"/>
          <w:lang w:val="en-US" w:eastAsia="zh-CN"/>
        </w:rPr>
      </w:pPr>
      <w:r>
        <w:rPr>
          <w:rFonts w:hint="eastAsia"/>
          <w:color w:val="auto"/>
          <w:highlight w:val="none"/>
          <w:lang w:val="en-US" w:eastAsia="zh-CN"/>
        </w:rPr>
        <w:t>“石榴花”品牌的传播影响率指标年初设定目标是≥90%，年中绩效运行监控时完成值60%，年终实际完成值是90%，指标完成率是100%，达到将“石榴花”品牌深入妇女人心，凝聚巾帼力量，促进妇女儿童事业发展的预期目标。偏差原因：无偏差。</w:t>
      </w:r>
    </w:p>
    <w:p w14:paraId="58DA746A">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十一）群众对“两个规划”重点内容的知晓率</w:t>
      </w:r>
      <w:r>
        <w:rPr>
          <w:rFonts w:hint="eastAsia"/>
          <w:color w:val="auto"/>
          <w:highlight w:val="none"/>
        </w:rPr>
        <w:t>指标完成情况分析</w:t>
      </w:r>
    </w:p>
    <w:p w14:paraId="6F4EDAD3">
      <w:pPr>
        <w:bidi w:val="0"/>
        <w:rPr>
          <w:rFonts w:hint="eastAsia"/>
          <w:color w:val="auto"/>
          <w:highlight w:val="none"/>
          <w:lang w:val="en-US" w:eastAsia="zh-CN"/>
        </w:rPr>
      </w:pPr>
      <w:r>
        <w:rPr>
          <w:rFonts w:hint="eastAsia"/>
          <w:color w:val="auto"/>
          <w:highlight w:val="none"/>
          <w:lang w:val="en-US" w:eastAsia="zh-CN"/>
        </w:rPr>
        <w:t>群众对“两规划”重点内容的知晓率指标年初设定目标是≥95%，年中绩效运行监控时完成值70%，年终实际完成值是95%，指标完成率是100%，达到提高“两规划”重点内容群众知晓率，营造全社会参与妇女儿童工作的浓厚氛围的预期目标。偏差原因：无偏差。</w:t>
      </w:r>
    </w:p>
    <w:p w14:paraId="01FB02AB">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十二）妇女群众满意度</w:t>
      </w:r>
      <w:r>
        <w:rPr>
          <w:rFonts w:hint="eastAsia"/>
          <w:color w:val="auto"/>
          <w:highlight w:val="none"/>
        </w:rPr>
        <w:t>指标完成情况分析</w:t>
      </w:r>
    </w:p>
    <w:p w14:paraId="6CA78DDF">
      <w:pPr>
        <w:bidi w:val="0"/>
        <w:rPr>
          <w:rFonts w:hint="eastAsia"/>
          <w:color w:val="auto"/>
          <w:highlight w:val="none"/>
          <w:lang w:val="en-US" w:eastAsia="zh-CN"/>
        </w:rPr>
      </w:pPr>
      <w:r>
        <w:rPr>
          <w:rFonts w:hint="eastAsia"/>
          <w:color w:val="auto"/>
          <w:highlight w:val="none"/>
          <w:lang w:val="en-US" w:eastAsia="zh-CN"/>
        </w:rPr>
        <w:t>妇女群众满意度指标年初设定目标是≥95%，年中绩效运行监控时完成值未达监控节点，年终实际完成值是98.33%，指标完成率是100%，达到增强妇女群众自我认同感，提升妇女群众幸福感、获得感，有效促进妇女儿童全面发展的预期目标。偏差原因：无偏差。</w:t>
      </w:r>
    </w:p>
    <w:p w14:paraId="00022898">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5F6AAE44">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64287B8E">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一是：打造“儿童之家”，优化儿童发展环境。打造县级“儿童之家”1个，为儿童提供校外活动场所，丰富辖区儿童的校外文化活动内容，带动该辖区各族家庭参与家庭教育知识讲座和亲子互动活动，满足各族家庭和儿童对家庭教育、亲子教育的需求，有效提升儿童幸福感，促进儿童全面发展。</w:t>
      </w:r>
    </w:p>
    <w:p w14:paraId="63ED3301">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二是：选树先进典型，拓宽致富门路。激励广大农牧民群众参与“美丽庭院”创建工作，创建县级“美丽庭院示范户”300户，评选县级“最美家庭”100户，发挥先进妇女典型的榜样引领作用，激励各族妇女通过发展庭院经济，巩固脱贫攻坚成果，积极拓宽致富门路，在经济社会建设中发挥更大作用。</w:t>
      </w:r>
    </w:p>
    <w:p w14:paraId="27863325">
      <w:pPr>
        <w:bidi w:val="0"/>
        <w:rPr>
          <w:rFonts w:hint="eastAsia" w:eastAsia="仿宋"/>
          <w:color w:val="auto"/>
          <w:highlight w:val="none"/>
          <w:lang w:eastAsia="zh-CN"/>
        </w:rPr>
      </w:pPr>
      <w:r>
        <w:rPr>
          <w:rFonts w:hint="default" w:ascii="Times New Roman" w:hAnsi="Times New Roman" w:cs="Times New Roman"/>
          <w:color w:val="auto"/>
          <w:highlight w:val="none"/>
        </w:rPr>
        <w:t>三是：加大对“</w:t>
      </w:r>
      <w:r>
        <w:rPr>
          <w:rFonts w:hint="eastAsia" w:ascii="Times New Roman" w:hAnsi="Times New Roman" w:cs="Times New Roman"/>
          <w:color w:val="auto"/>
          <w:highlight w:val="none"/>
          <w:lang w:eastAsia="zh-CN"/>
        </w:rPr>
        <w:t>两个</w:t>
      </w:r>
      <w:r>
        <w:rPr>
          <w:rFonts w:hint="default" w:ascii="Times New Roman" w:hAnsi="Times New Roman" w:cs="Times New Roman"/>
          <w:color w:val="auto"/>
          <w:highlight w:val="none"/>
        </w:rPr>
        <w:t>规划”宣传力度，促进妇女儿童全面发展。开展宣传活动12场次</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编印并发放宣传材料5000份，大力宣传男女平等基本国策、儿童优先原则和“两规划”重点内容等，提高各族群众对“两规划”重点内容的知晓率，扩大“两规划”的社会影响，促进“两规划”目标的落实。</w:t>
      </w:r>
    </w:p>
    <w:p w14:paraId="2A627396">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75AB6140">
      <w:pPr>
        <w:bidi w:val="0"/>
        <w:rPr>
          <w:rFonts w:hint="eastAsia"/>
          <w:color w:val="auto"/>
          <w:highlight w:val="none"/>
          <w:lang w:val="en-US" w:eastAsia="zh-CN"/>
        </w:rPr>
      </w:pPr>
      <w:r>
        <w:rPr>
          <w:rFonts w:hint="eastAsia"/>
          <w:color w:val="auto"/>
          <w:highlight w:val="none"/>
          <w:lang w:val="en-US" w:eastAsia="zh-CN"/>
        </w:rPr>
        <w:t>1、预算绩效管理水平仍有欠缺。在预算绩效管理工作中，存在“重投入轻管理、重支出轻绩效”的情况，对全面实施预算绩效管理的要求认识还不到位，项目申报、实施等环节与预算绩效管理各个环节联系不够紧密；我单位人员少，面对专业人手不足、绩效管理水平欠缺的情况下，提升的空间还是很大；</w:t>
      </w:r>
    </w:p>
    <w:p w14:paraId="10D96F56">
      <w:pPr>
        <w:bidi w:val="0"/>
        <w:rPr>
          <w:rFonts w:hint="eastAsia"/>
          <w:color w:val="auto"/>
          <w:highlight w:val="none"/>
          <w:lang w:val="en-US" w:eastAsia="zh-CN"/>
        </w:rPr>
      </w:pPr>
      <w:r>
        <w:rPr>
          <w:rFonts w:hint="eastAsia"/>
          <w:color w:val="auto"/>
          <w:highlight w:val="none"/>
          <w:lang w:val="en-US" w:eastAsia="zh-CN"/>
        </w:rPr>
        <w:t>2、因各项手续多、周期长，在一定程度上影响了项目资金支付进度；</w:t>
      </w:r>
    </w:p>
    <w:p w14:paraId="4DF0EF5C">
      <w:pPr>
        <w:bidi w:val="0"/>
        <w:rPr>
          <w:rFonts w:hint="default"/>
          <w:color w:val="auto"/>
          <w:highlight w:val="none"/>
          <w:lang w:val="en-US" w:eastAsia="zh-CN"/>
        </w:rPr>
      </w:pPr>
      <w:r>
        <w:rPr>
          <w:rFonts w:hint="eastAsia"/>
          <w:color w:val="auto"/>
          <w:highlight w:val="none"/>
          <w:lang w:val="en-US" w:eastAsia="zh-CN"/>
        </w:rPr>
        <w:t>3、相关负责项目及财务人员项目相关专业知识有所欠缺，应加大对相关人员培训力度。</w:t>
      </w:r>
    </w:p>
    <w:p w14:paraId="518E1324">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507462D4">
      <w:pPr>
        <w:bidi w:val="0"/>
        <w:rPr>
          <w:rFonts w:hint="eastAsia"/>
          <w:color w:val="auto"/>
          <w:highlight w:val="none"/>
          <w:lang w:val="en-US" w:eastAsia="zh-CN"/>
        </w:rPr>
      </w:pPr>
      <w:r>
        <w:rPr>
          <w:rFonts w:hint="eastAsia"/>
          <w:color w:val="auto"/>
          <w:highlight w:val="none"/>
          <w:lang w:val="en-US" w:eastAsia="zh-CN"/>
        </w:rPr>
        <w:t>1、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w:t>
      </w:r>
    </w:p>
    <w:p w14:paraId="2D45251C">
      <w:pPr>
        <w:pStyle w:val="2"/>
        <w:rPr>
          <w:rFonts w:hint="eastAsia" w:ascii="仿宋_GB2312" w:hAnsi="仿宋_GB2312" w:eastAsia="仿宋"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2、</w:t>
      </w:r>
      <w:r>
        <w:rPr>
          <w:rFonts w:hint="eastAsia" w:ascii="仿宋_GB2312" w:hAnsi="仿宋_GB2312" w:eastAsia="仿宋" w:cs="仿宋_GB2312"/>
          <w:b w:val="0"/>
          <w:bCs w:val="0"/>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p>
    <w:p w14:paraId="643AD462">
      <w:pPr>
        <w:bidi w:val="0"/>
        <w:rPr>
          <w:rFonts w:hint="default"/>
          <w:color w:val="auto"/>
          <w:highlight w:val="none"/>
          <w:lang w:val="en-US" w:eastAsia="zh-CN"/>
        </w:rPr>
      </w:pPr>
      <w:r>
        <w:rPr>
          <w:rFonts w:hint="eastAsia"/>
          <w:color w:val="auto"/>
          <w:highlight w:val="none"/>
          <w:lang w:val="en-US" w:eastAsia="zh-CN"/>
        </w:rPr>
        <w:t>3、加强学习。加强新行政单位会计制度和新预算法学习培训、规范账务处理，加强新《中华人民共和国预算法</w:t>
      </w:r>
      <w:bookmarkStart w:id="6" w:name="_GoBack"/>
      <w:bookmarkEnd w:id="6"/>
      <w:r>
        <w:rPr>
          <w:rFonts w:hint="eastAsia"/>
          <w:color w:val="auto"/>
          <w:highlight w:val="none"/>
          <w:lang w:val="en-US" w:eastAsia="zh-CN"/>
        </w:rPr>
        <w:t>》《行政单位会计制度》 、《中华人民共和国会计法》 、《行政单位财务规则》等学习培训，规范部门预算收支核算。 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明确如何参照考核体系，科学合理设定绩效目标，充分发挥预算绩效管理工作效用。</w:t>
      </w:r>
    </w:p>
    <w:p w14:paraId="6AB416D1">
      <w:pPr>
        <w:pStyle w:val="3"/>
        <w:bidi w:val="0"/>
        <w:rPr>
          <w:rFonts w:hint="default"/>
          <w:color w:val="auto"/>
          <w:highlight w:val="none"/>
          <w:lang w:val="en-US" w:eastAsia="zh-CN"/>
        </w:rPr>
      </w:pPr>
      <w:r>
        <w:rPr>
          <w:rFonts w:hint="eastAsia"/>
          <w:color w:val="auto"/>
          <w:highlight w:val="none"/>
          <w:lang w:val="en-US" w:eastAsia="zh-CN"/>
        </w:rPr>
        <w:t>七、附件上传</w:t>
      </w:r>
    </w:p>
    <w:p w14:paraId="4FE3642F">
      <w:pPr>
        <w:ind w:firstLine="560"/>
        <w:rPr>
          <w:rFonts w:hint="eastAsia"/>
          <w:color w:val="auto"/>
          <w:highlight w:val="none"/>
          <w:lang w:eastAsia="zh-CN"/>
        </w:rPr>
      </w:pPr>
      <w:r>
        <w:rPr>
          <w:rFonts w:hint="eastAsia"/>
          <w:color w:val="auto"/>
          <w:highlight w:val="none"/>
        </w:rPr>
        <w:t>《部门整体支出绩效目标自评表》</w:t>
      </w:r>
      <w:r>
        <w:rPr>
          <w:rFonts w:hint="eastAsia"/>
          <w:color w:val="auto"/>
          <w:highlight w:val="none"/>
          <w:lang w:eastAsia="zh-CN"/>
        </w:rPr>
        <w:tab/>
      </w:r>
    </w:p>
    <w:p w14:paraId="7662EB2D">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8C21A">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4E1ED40">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A7208"/>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AD4A4C"/>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5369BF"/>
    <w:rsid w:val="01941124"/>
    <w:rsid w:val="01CC583F"/>
    <w:rsid w:val="01CD5853"/>
    <w:rsid w:val="02337D11"/>
    <w:rsid w:val="024A07BE"/>
    <w:rsid w:val="02C40969"/>
    <w:rsid w:val="03FB310B"/>
    <w:rsid w:val="04DB4953"/>
    <w:rsid w:val="04FF0482"/>
    <w:rsid w:val="05062887"/>
    <w:rsid w:val="05464D81"/>
    <w:rsid w:val="0548762F"/>
    <w:rsid w:val="057E5747"/>
    <w:rsid w:val="05DA5B78"/>
    <w:rsid w:val="05F70F85"/>
    <w:rsid w:val="0607573C"/>
    <w:rsid w:val="06280370"/>
    <w:rsid w:val="06547701"/>
    <w:rsid w:val="067825D3"/>
    <w:rsid w:val="06DA7E3A"/>
    <w:rsid w:val="072B19D6"/>
    <w:rsid w:val="07C75183"/>
    <w:rsid w:val="084208C4"/>
    <w:rsid w:val="08447469"/>
    <w:rsid w:val="098A3C0A"/>
    <w:rsid w:val="09A01AE0"/>
    <w:rsid w:val="09A24E4E"/>
    <w:rsid w:val="09B5725D"/>
    <w:rsid w:val="09F47B1F"/>
    <w:rsid w:val="0A10066B"/>
    <w:rsid w:val="0A2A7C4B"/>
    <w:rsid w:val="0A9A7091"/>
    <w:rsid w:val="0BC76CE3"/>
    <w:rsid w:val="0C6738B8"/>
    <w:rsid w:val="0CCE2B10"/>
    <w:rsid w:val="0CE2210A"/>
    <w:rsid w:val="0DB91E3F"/>
    <w:rsid w:val="0E057950"/>
    <w:rsid w:val="0E7D784C"/>
    <w:rsid w:val="0EB4792A"/>
    <w:rsid w:val="0EC63A68"/>
    <w:rsid w:val="0EDB7766"/>
    <w:rsid w:val="10300946"/>
    <w:rsid w:val="10FE60D7"/>
    <w:rsid w:val="122218F4"/>
    <w:rsid w:val="12346F37"/>
    <w:rsid w:val="12A9704D"/>
    <w:rsid w:val="12B5207C"/>
    <w:rsid w:val="12BD2420"/>
    <w:rsid w:val="13192CE2"/>
    <w:rsid w:val="13461DA6"/>
    <w:rsid w:val="134F7771"/>
    <w:rsid w:val="13E513B9"/>
    <w:rsid w:val="158C5316"/>
    <w:rsid w:val="15B904C0"/>
    <w:rsid w:val="165C118C"/>
    <w:rsid w:val="172D035F"/>
    <w:rsid w:val="175D58E3"/>
    <w:rsid w:val="179F62EB"/>
    <w:rsid w:val="18061B60"/>
    <w:rsid w:val="190C3DF8"/>
    <w:rsid w:val="198509FA"/>
    <w:rsid w:val="19AA4D08"/>
    <w:rsid w:val="19C13BEA"/>
    <w:rsid w:val="19F83E30"/>
    <w:rsid w:val="1B375D24"/>
    <w:rsid w:val="1B403139"/>
    <w:rsid w:val="1B4F12C0"/>
    <w:rsid w:val="1C6D319F"/>
    <w:rsid w:val="1D384A93"/>
    <w:rsid w:val="1D4D74D6"/>
    <w:rsid w:val="1D9456B0"/>
    <w:rsid w:val="1DE32CFD"/>
    <w:rsid w:val="1E6B2A02"/>
    <w:rsid w:val="1EDB2E6A"/>
    <w:rsid w:val="1F1A602A"/>
    <w:rsid w:val="1F2854B6"/>
    <w:rsid w:val="1F742AAD"/>
    <w:rsid w:val="20C0056A"/>
    <w:rsid w:val="214619BF"/>
    <w:rsid w:val="215869F4"/>
    <w:rsid w:val="217D20CE"/>
    <w:rsid w:val="21A63C04"/>
    <w:rsid w:val="21C67E02"/>
    <w:rsid w:val="21C768CD"/>
    <w:rsid w:val="21FB3F4F"/>
    <w:rsid w:val="22853819"/>
    <w:rsid w:val="22E14253"/>
    <w:rsid w:val="23411E36"/>
    <w:rsid w:val="238C1540"/>
    <w:rsid w:val="23931BB2"/>
    <w:rsid w:val="23C3381B"/>
    <w:rsid w:val="23F209A3"/>
    <w:rsid w:val="2403516E"/>
    <w:rsid w:val="246C2283"/>
    <w:rsid w:val="24871491"/>
    <w:rsid w:val="256A2A9E"/>
    <w:rsid w:val="26104B6B"/>
    <w:rsid w:val="27F7226E"/>
    <w:rsid w:val="27FC27CF"/>
    <w:rsid w:val="2805537E"/>
    <w:rsid w:val="289437EE"/>
    <w:rsid w:val="29667189"/>
    <w:rsid w:val="297873DB"/>
    <w:rsid w:val="29827E4B"/>
    <w:rsid w:val="29BD7D3C"/>
    <w:rsid w:val="29F35E61"/>
    <w:rsid w:val="2A285817"/>
    <w:rsid w:val="2B6F150A"/>
    <w:rsid w:val="2BB557CB"/>
    <w:rsid w:val="2BC51751"/>
    <w:rsid w:val="2D166684"/>
    <w:rsid w:val="2E0C4DEE"/>
    <w:rsid w:val="2E41718E"/>
    <w:rsid w:val="2E6C1D31"/>
    <w:rsid w:val="2EBF757D"/>
    <w:rsid w:val="2F3243E4"/>
    <w:rsid w:val="2F825C6A"/>
    <w:rsid w:val="2F8F077D"/>
    <w:rsid w:val="30623321"/>
    <w:rsid w:val="313A1C72"/>
    <w:rsid w:val="31927D00"/>
    <w:rsid w:val="31AE39CE"/>
    <w:rsid w:val="31B61F5A"/>
    <w:rsid w:val="31B83F5F"/>
    <w:rsid w:val="32211AFE"/>
    <w:rsid w:val="328E2AB6"/>
    <w:rsid w:val="329B12EA"/>
    <w:rsid w:val="32AC3044"/>
    <w:rsid w:val="32F11C5D"/>
    <w:rsid w:val="32FB1A54"/>
    <w:rsid w:val="33291F9F"/>
    <w:rsid w:val="33A83F87"/>
    <w:rsid w:val="33EA7F55"/>
    <w:rsid w:val="340D2D0F"/>
    <w:rsid w:val="3476585A"/>
    <w:rsid w:val="348F1A9E"/>
    <w:rsid w:val="355C2B3F"/>
    <w:rsid w:val="356B4AF0"/>
    <w:rsid w:val="358F11E6"/>
    <w:rsid w:val="35F12468"/>
    <w:rsid w:val="36851B5C"/>
    <w:rsid w:val="36932551"/>
    <w:rsid w:val="37661A13"/>
    <w:rsid w:val="379871D0"/>
    <w:rsid w:val="37BA58BB"/>
    <w:rsid w:val="37C9352C"/>
    <w:rsid w:val="37D360CA"/>
    <w:rsid w:val="385B709E"/>
    <w:rsid w:val="38A077DC"/>
    <w:rsid w:val="38CB5066"/>
    <w:rsid w:val="38E054C9"/>
    <w:rsid w:val="3A565DE9"/>
    <w:rsid w:val="3AA80595"/>
    <w:rsid w:val="3AC36A27"/>
    <w:rsid w:val="3AC844B6"/>
    <w:rsid w:val="3BBC4A6C"/>
    <w:rsid w:val="3C990195"/>
    <w:rsid w:val="3CA37266"/>
    <w:rsid w:val="3D102837"/>
    <w:rsid w:val="3D360A9C"/>
    <w:rsid w:val="3DB05118"/>
    <w:rsid w:val="3DE3094F"/>
    <w:rsid w:val="3E4D07AC"/>
    <w:rsid w:val="3F301058"/>
    <w:rsid w:val="3F3643C1"/>
    <w:rsid w:val="3FDA2F9E"/>
    <w:rsid w:val="417A34F9"/>
    <w:rsid w:val="418810F4"/>
    <w:rsid w:val="41A37673"/>
    <w:rsid w:val="41C31810"/>
    <w:rsid w:val="42503F5E"/>
    <w:rsid w:val="42C30950"/>
    <w:rsid w:val="432B58BF"/>
    <w:rsid w:val="44116D03"/>
    <w:rsid w:val="459B4F7E"/>
    <w:rsid w:val="45A65C7F"/>
    <w:rsid w:val="45AF27D7"/>
    <w:rsid w:val="45F13359"/>
    <w:rsid w:val="468C2A4A"/>
    <w:rsid w:val="46AD2493"/>
    <w:rsid w:val="46EC7F14"/>
    <w:rsid w:val="47CA7D9C"/>
    <w:rsid w:val="47DB3D58"/>
    <w:rsid w:val="48194880"/>
    <w:rsid w:val="48383EE4"/>
    <w:rsid w:val="48AF4C7F"/>
    <w:rsid w:val="492B03C7"/>
    <w:rsid w:val="4A5B46DD"/>
    <w:rsid w:val="4A6F6A56"/>
    <w:rsid w:val="4A81677A"/>
    <w:rsid w:val="4B3B5348"/>
    <w:rsid w:val="4B741947"/>
    <w:rsid w:val="4CA566E2"/>
    <w:rsid w:val="4D0D1DC6"/>
    <w:rsid w:val="4D4F02E2"/>
    <w:rsid w:val="4D9A5B1B"/>
    <w:rsid w:val="4DA177B2"/>
    <w:rsid w:val="4DA370C6"/>
    <w:rsid w:val="4DF36D4F"/>
    <w:rsid w:val="4E731B44"/>
    <w:rsid w:val="4F860A4D"/>
    <w:rsid w:val="4FF43E59"/>
    <w:rsid w:val="501B7C76"/>
    <w:rsid w:val="504D5CCF"/>
    <w:rsid w:val="50FF4DDE"/>
    <w:rsid w:val="511A2CA6"/>
    <w:rsid w:val="52902210"/>
    <w:rsid w:val="52B15D09"/>
    <w:rsid w:val="52C44952"/>
    <w:rsid w:val="52D37226"/>
    <w:rsid w:val="53151681"/>
    <w:rsid w:val="533A7469"/>
    <w:rsid w:val="53526129"/>
    <w:rsid w:val="538B4CD8"/>
    <w:rsid w:val="53A21BCD"/>
    <w:rsid w:val="54394F3D"/>
    <w:rsid w:val="560F6013"/>
    <w:rsid w:val="565F61A9"/>
    <w:rsid w:val="569E667C"/>
    <w:rsid w:val="56AD4B11"/>
    <w:rsid w:val="56D55E16"/>
    <w:rsid w:val="57232FC4"/>
    <w:rsid w:val="572D2326"/>
    <w:rsid w:val="57365691"/>
    <w:rsid w:val="57A9535F"/>
    <w:rsid w:val="592639FC"/>
    <w:rsid w:val="59266DFD"/>
    <w:rsid w:val="59372DB8"/>
    <w:rsid w:val="596A3EB3"/>
    <w:rsid w:val="59EE1E48"/>
    <w:rsid w:val="5A490F5C"/>
    <w:rsid w:val="5A7225C7"/>
    <w:rsid w:val="5B266C40"/>
    <w:rsid w:val="5B805E16"/>
    <w:rsid w:val="5BAC1EDE"/>
    <w:rsid w:val="5BD21464"/>
    <w:rsid w:val="5BDE2B83"/>
    <w:rsid w:val="5BF845A5"/>
    <w:rsid w:val="5C6E0C8B"/>
    <w:rsid w:val="5C777282"/>
    <w:rsid w:val="5D0438F9"/>
    <w:rsid w:val="5E47584B"/>
    <w:rsid w:val="5E8C3DF4"/>
    <w:rsid w:val="5EFF7ED4"/>
    <w:rsid w:val="60116111"/>
    <w:rsid w:val="61635F72"/>
    <w:rsid w:val="618606C5"/>
    <w:rsid w:val="61905EB4"/>
    <w:rsid w:val="6224402D"/>
    <w:rsid w:val="630006BE"/>
    <w:rsid w:val="630B2492"/>
    <w:rsid w:val="63544E92"/>
    <w:rsid w:val="6384067A"/>
    <w:rsid w:val="638D125E"/>
    <w:rsid w:val="6396333E"/>
    <w:rsid w:val="63BE65AA"/>
    <w:rsid w:val="63E114D3"/>
    <w:rsid w:val="64E74C26"/>
    <w:rsid w:val="65F22540"/>
    <w:rsid w:val="662C40B7"/>
    <w:rsid w:val="68A815DC"/>
    <w:rsid w:val="69A27DD9"/>
    <w:rsid w:val="69D63CC4"/>
    <w:rsid w:val="6AD46D46"/>
    <w:rsid w:val="6B07083C"/>
    <w:rsid w:val="6B120F8F"/>
    <w:rsid w:val="6B3A1074"/>
    <w:rsid w:val="6B623CC4"/>
    <w:rsid w:val="6B627D0B"/>
    <w:rsid w:val="6B6C65E0"/>
    <w:rsid w:val="6C2B67AC"/>
    <w:rsid w:val="6CCB3AEB"/>
    <w:rsid w:val="6CFC1EF7"/>
    <w:rsid w:val="6D1C149A"/>
    <w:rsid w:val="6D262AD0"/>
    <w:rsid w:val="6D401DE3"/>
    <w:rsid w:val="6D723F67"/>
    <w:rsid w:val="6DA700B4"/>
    <w:rsid w:val="6DC75377"/>
    <w:rsid w:val="6DE07909"/>
    <w:rsid w:val="6E58438A"/>
    <w:rsid w:val="6E7066F8"/>
    <w:rsid w:val="6E8D78DF"/>
    <w:rsid w:val="6E9D5508"/>
    <w:rsid w:val="6EE4183D"/>
    <w:rsid w:val="6F871359"/>
    <w:rsid w:val="6FEF45E1"/>
    <w:rsid w:val="7000585A"/>
    <w:rsid w:val="702D2A53"/>
    <w:rsid w:val="711B7F18"/>
    <w:rsid w:val="717F0D55"/>
    <w:rsid w:val="71C474B3"/>
    <w:rsid w:val="71D902F4"/>
    <w:rsid w:val="71EB22B3"/>
    <w:rsid w:val="72010FA6"/>
    <w:rsid w:val="723F4D5F"/>
    <w:rsid w:val="72965728"/>
    <w:rsid w:val="733F48EB"/>
    <w:rsid w:val="74212849"/>
    <w:rsid w:val="74335CF8"/>
    <w:rsid w:val="744C1D4E"/>
    <w:rsid w:val="748419B3"/>
    <w:rsid w:val="748A4F72"/>
    <w:rsid w:val="74961819"/>
    <w:rsid w:val="74FD05BA"/>
    <w:rsid w:val="750202C6"/>
    <w:rsid w:val="753F7B09"/>
    <w:rsid w:val="75664078"/>
    <w:rsid w:val="761E4132"/>
    <w:rsid w:val="76342701"/>
    <w:rsid w:val="7750356B"/>
    <w:rsid w:val="78061A79"/>
    <w:rsid w:val="79181486"/>
    <w:rsid w:val="7AA53BCD"/>
    <w:rsid w:val="7AFE508C"/>
    <w:rsid w:val="7B1E3C15"/>
    <w:rsid w:val="7B2561EC"/>
    <w:rsid w:val="7B4231CA"/>
    <w:rsid w:val="7BC003CA"/>
    <w:rsid w:val="7BD87B5C"/>
    <w:rsid w:val="7CBF4BB4"/>
    <w:rsid w:val="7E1A6C9C"/>
    <w:rsid w:val="7E53749D"/>
    <w:rsid w:val="7E5D346D"/>
    <w:rsid w:val="7EC448D5"/>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4895</Words>
  <Characters>5157</Characters>
  <Lines>7</Lines>
  <Paragraphs>2</Paragraphs>
  <TotalTime>75</TotalTime>
  <ScaleCrop>false</ScaleCrop>
  <LinksUpToDate>false</LinksUpToDate>
  <CharactersWithSpaces>5158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2024-11-22T03:52:04Z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543B72E884D74D15B9B1C6F0C3810277_13</vt:lpwstr>
  </property>
</Properties>
</file>