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ABF38">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和静县市场监督管理局部门整体支出绩效自评报告</w:t>
      </w:r>
    </w:p>
    <w:p w14:paraId="2916A4D2">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FB6358E">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F220BCD">
      <w:pPr>
        <w:pStyle w:val="2"/>
        <w:bidi w:val="0"/>
        <w:rPr>
          <w:rFonts w:hint="eastAsia"/>
          <w:color w:val="auto"/>
          <w:highlight w:val="none"/>
          <w:lang w:val="en-US" w:eastAsia="zh-CN"/>
        </w:rPr>
      </w:pPr>
      <w:r>
        <w:rPr>
          <w:rFonts w:hint="eastAsia"/>
          <w:color w:val="auto"/>
          <w:highlight w:val="none"/>
          <w:lang w:val="en-US" w:eastAsia="zh-CN"/>
        </w:rPr>
        <w:t>1.部门主要职能</w:t>
      </w:r>
    </w:p>
    <w:p w14:paraId="5F3FD248">
      <w:pPr>
        <w:bidi w:val="0"/>
        <w:rPr>
          <w:rFonts w:hint="default"/>
          <w:color w:val="auto"/>
          <w:highlight w:val="none"/>
          <w:lang w:val="en-US" w:eastAsia="zh-CN"/>
        </w:rPr>
      </w:pPr>
      <w:r>
        <w:rPr>
          <w:rFonts w:hint="eastAsia"/>
          <w:color w:val="auto"/>
          <w:highlight w:val="none"/>
          <w:lang w:val="en-US" w:eastAsia="zh-CN"/>
        </w:rPr>
        <w:t>和静县市场监督管理局为正科级单位，主要职责是：（1）负责市场综合监督管理和知识产权管理。2）负责市场主体的统一登记注册。（3）负责组织和指导市场监督管理和知识产权综合执法工作。（4）负责反垄断统一执法。（5）负责监督管理市场秩序。（6）负责质量管理工作。（7）负责质量监督工作。（8）负责特种设备安全监督管理。（9）负责食品安全监督管理综合协调。（10）负责食品安全监督管理。（11）负责统一管理计量工作。（12）负责统一管理标准化工作。（13）负责统一管理检验检测工作。（14）负责认证认可监督管理工作。（15）负责市场监督管理和知识产权科技与信息化建设、新闻宣传以及对外交流合作。（16）负责促进知识产权运用。（17）负责保护知识产权。（18）承担和静县食品安全委员会的具体工作。（19）监督落实药品、医疗器械和化妆品监督管理制度，负责药品零售、医疗器械经营许可、检查和处罚，以及化妆品经营和药品、医疗器械使用环节质量的检查和处罚。（20）承担本部门党的建设、党风廉政建设和反腐败、精神文明、维护稳定、综合治理、民族团结、安全生产、扶贫攻坚工作。（21）承办县委、县人民政府交办的其他事项。</w:t>
      </w:r>
    </w:p>
    <w:p w14:paraId="5199A9AB">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6186A6BF">
      <w:pPr>
        <w:bidi w:val="0"/>
        <w:rPr>
          <w:rFonts w:hint="eastAsia"/>
          <w:color w:val="auto"/>
          <w:highlight w:val="none"/>
          <w:lang w:val="en-US" w:eastAsia="zh-CN"/>
        </w:rPr>
      </w:pPr>
      <w:r>
        <w:rPr>
          <w:rFonts w:hint="eastAsia"/>
          <w:color w:val="auto"/>
          <w:highlight w:val="none"/>
          <w:lang w:val="en-US" w:eastAsia="zh-CN"/>
        </w:rPr>
        <w:t>和静县市场监督管理局下属预算单位1个，为和静县质量与计量检测所，和静县市场监督管理局下设11个处室，分别是：办公室、政策法规股、法制检查股、审批登记注册股、信用广告与网络交易监督管理股、反垄断和反不正当竞争股、价格监督检查股、知识产权保护和产品质量监督股、食品安全监督管理股、药品医疗器械化妆品安全监管股、特种设备纤维计量标准化管理股。和静县质量与计量检测所下设5个处室，分别是：电学室、压力室、天平室、血压计室、衡器室。</w:t>
      </w:r>
    </w:p>
    <w:p w14:paraId="13B4A933">
      <w:pPr>
        <w:bidi w:val="0"/>
        <w:rPr>
          <w:rFonts w:hint="eastAsia"/>
          <w:color w:val="auto"/>
          <w:highlight w:val="none"/>
          <w:lang w:val="en-US" w:eastAsia="zh-CN"/>
        </w:rPr>
      </w:pPr>
      <w:r>
        <w:rPr>
          <w:rFonts w:hint="eastAsia"/>
          <w:color w:val="auto"/>
          <w:highlight w:val="none"/>
          <w:lang w:val="en-US" w:eastAsia="zh-CN"/>
        </w:rPr>
        <w:t>和静县市场监督管理局单位编制数57人，实有人数111人，其中：在职55人；退休56人。</w:t>
      </w:r>
    </w:p>
    <w:p w14:paraId="76B1A14E">
      <w:pPr>
        <w:bidi w:val="0"/>
        <w:rPr>
          <w:rFonts w:hint="eastAsia"/>
          <w:color w:val="auto"/>
          <w:highlight w:val="none"/>
          <w:lang w:val="en-US" w:eastAsia="zh-CN"/>
        </w:rPr>
      </w:pPr>
      <w:r>
        <w:rPr>
          <w:rFonts w:hint="eastAsia"/>
          <w:color w:val="auto"/>
          <w:highlight w:val="none"/>
          <w:lang w:val="en-US" w:eastAsia="zh-CN"/>
        </w:rPr>
        <w:t>和静县质量与计量检测所单位编制数6，实有人数11人，其中：在职6人；退休5人。</w:t>
      </w:r>
    </w:p>
    <w:p w14:paraId="38DD35E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3218B46E">
      <w:pPr>
        <w:bidi w:val="0"/>
        <w:rPr>
          <w:rFonts w:hint="eastAsia"/>
          <w:color w:val="auto"/>
          <w:highlight w:val="none"/>
          <w:lang w:val="en-US" w:eastAsia="zh-CN"/>
        </w:rPr>
      </w:pPr>
      <w:r>
        <w:rPr>
          <w:rFonts w:hint="eastAsia"/>
          <w:color w:val="auto"/>
          <w:highlight w:val="none"/>
          <w:lang w:val="en-US" w:eastAsia="zh-CN"/>
        </w:rPr>
        <w:t>1.服务市场主体，不断优化营商环境</w:t>
      </w:r>
    </w:p>
    <w:p w14:paraId="30D62D82">
      <w:pPr>
        <w:bidi w:val="0"/>
        <w:rPr>
          <w:rFonts w:hint="eastAsia"/>
          <w:color w:val="auto"/>
          <w:highlight w:val="none"/>
          <w:lang w:val="en-US" w:eastAsia="zh-CN"/>
        </w:rPr>
      </w:pPr>
      <w:r>
        <w:rPr>
          <w:rFonts w:hint="eastAsia"/>
          <w:color w:val="auto"/>
          <w:highlight w:val="none"/>
          <w:lang w:val="en-US" w:eastAsia="zh-CN"/>
        </w:rPr>
        <w:t>一是我局持续推进落实“多证合一”“证照分离”、简易注销、“最多跑一次”“全程电子化”等各项改革举措。截至目前期末实有户数14073，同比增加8.33%。本年度新办营业执照1711户，同比增加9.96%，注销业务770起，同比减少14.63%。全程电子化办件占比99.17%。办结食品经营许可业务966起，其中新办业务550起，变更业务68起，注销业务326起，延续业务18起。</w:t>
      </w:r>
    </w:p>
    <w:p w14:paraId="5D856053">
      <w:pPr>
        <w:bidi w:val="0"/>
        <w:rPr>
          <w:rFonts w:hint="eastAsia"/>
          <w:color w:val="auto"/>
          <w:highlight w:val="none"/>
          <w:lang w:val="en-US" w:eastAsia="zh-CN"/>
        </w:rPr>
      </w:pPr>
      <w:r>
        <w:rPr>
          <w:rFonts w:hint="eastAsia"/>
          <w:color w:val="auto"/>
          <w:highlight w:val="none"/>
          <w:lang w:val="en-US" w:eastAsia="zh-CN"/>
        </w:rPr>
        <w:t>二是积极开展“丝路有信”新疆企业信用码试点推广活动，制定《和静县推广应用“丝路有信”新疆企业码试点工作实施方案》，组织企业信用码示范区商户培训会4场次，宣传活动3次，拉横幅25条次，现场发放统一制作的二维码亚克力展示牌102份，助力企业信用修复7家。</w:t>
      </w:r>
    </w:p>
    <w:p w14:paraId="67B24ABC">
      <w:pPr>
        <w:bidi w:val="0"/>
        <w:rPr>
          <w:rFonts w:hint="eastAsia"/>
          <w:color w:val="auto"/>
          <w:highlight w:val="none"/>
          <w:lang w:val="en-US" w:eastAsia="zh-CN"/>
        </w:rPr>
      </w:pPr>
      <w:r>
        <w:rPr>
          <w:rFonts w:hint="eastAsia"/>
          <w:color w:val="auto"/>
          <w:highlight w:val="none"/>
          <w:lang w:val="en-US" w:eastAsia="zh-CN"/>
        </w:rPr>
        <w:t>三是大力推行“双随机、一公开”监管。着力实现“进一次门、查多项事、无事不扰”。共制定部门抽查计划1 6起，发起2起，接收14起，检查对象总户数98户，其中已完成跨部门抽查计划16起98户，部门联合抽查公示率为100%；内部计划完成30起，检查率100％。</w:t>
      </w:r>
    </w:p>
    <w:p w14:paraId="611BE15F">
      <w:pPr>
        <w:bidi w:val="0"/>
        <w:rPr>
          <w:rFonts w:hint="eastAsia"/>
          <w:color w:val="auto"/>
          <w:highlight w:val="none"/>
          <w:lang w:val="en-US" w:eastAsia="zh-CN"/>
        </w:rPr>
      </w:pPr>
      <w:r>
        <w:rPr>
          <w:rFonts w:hint="eastAsia"/>
          <w:color w:val="auto"/>
          <w:highlight w:val="none"/>
          <w:lang w:val="en-US" w:eastAsia="zh-CN"/>
        </w:rPr>
        <w:t>四是持续开展公平竞争审查。充分发挥公平竞争审查联席会议统筹协调作用，健全审查工作机制，强化内部审查主体责任，保障公平竞争审查制度落实落细，经过各单位统计今年审查的增量文件7件、存量0件、其他0件，截至目前未发现问题文件；涉企违规收费专项整治，受理价格投诉53件，罚没款3万余元，对未明码标价和价格公示不规范行为下发责令改正通知书79份；旅游市场专项整治工作，目前已检查383家，发现问题166条，当场整改75条，下达《责令改正通知书》24份，立案调查2起；涉疫物资和民生商品价格监督检查情况，检查药店药企543家次，问题整改0件，累计整改问题6件，累计立案3起，累计结案3起（1件不予处罚），曝光典型案例0起，发放提醒告诫书60份。</w:t>
      </w:r>
    </w:p>
    <w:p w14:paraId="0F4FF339">
      <w:pPr>
        <w:bidi w:val="0"/>
        <w:rPr>
          <w:rFonts w:hint="eastAsia"/>
          <w:color w:val="auto"/>
          <w:highlight w:val="none"/>
          <w:lang w:val="en-US" w:eastAsia="zh-CN"/>
        </w:rPr>
      </w:pPr>
      <w:r>
        <w:rPr>
          <w:rFonts w:hint="eastAsia"/>
          <w:color w:val="auto"/>
          <w:highlight w:val="none"/>
          <w:lang w:val="en-US" w:eastAsia="zh-CN"/>
        </w:rPr>
        <w:t>2.服务消费大众，不断提振消费信心</w:t>
      </w:r>
    </w:p>
    <w:p w14:paraId="55BB0BB6">
      <w:pPr>
        <w:bidi w:val="0"/>
        <w:rPr>
          <w:rFonts w:hint="eastAsia"/>
          <w:color w:val="auto"/>
          <w:highlight w:val="none"/>
          <w:lang w:val="en-US" w:eastAsia="zh-CN"/>
        </w:rPr>
      </w:pPr>
      <w:r>
        <w:rPr>
          <w:rFonts w:hint="eastAsia"/>
          <w:color w:val="auto"/>
          <w:highlight w:val="none"/>
          <w:lang w:val="en-US" w:eastAsia="zh-CN"/>
        </w:rPr>
        <w:t>我局始终坚持把12315</w:t>
      </w:r>
      <w:bookmarkStart w:id="6" w:name="_GoBack"/>
      <w:bookmarkEnd w:id="6"/>
      <w:r>
        <w:rPr>
          <w:rFonts w:hint="eastAsia"/>
          <w:color w:val="auto"/>
          <w:highlight w:val="none"/>
          <w:lang w:val="en-US" w:eastAsia="zh-CN"/>
        </w:rPr>
        <w:t>打造成市场监督管理部门的民心品牌工程。一是不断提升规范化建设水平。进一步以提升效能和方便群众为目标，规范了接诉程序和解决途径，通过微信、视频等方式实现了远程可视化调解；二是不断提升依法维权的能力。组织人员对涉及消费纠纷的各类问题进行法治化的梳理，解决不会调解、调解无据无果等现实问题。截至目前，受理335件投诉举报，其中举报52件，投诉类283件，办结273件，未办结10件；举报立案9件，挽回经济损失7万7853元；12345受理工单68件，解决68件，更新知识库83条。三是不断提升消费维权的辐射力，组织了25家成员单位开展了“3·15国际消费者权益日”系列活动，参与活动消费者1000余人次，入户走访宣传500余户，发放信用宣传手册600余份。集中销毁侵权、假冒伪劣商品共计2092余件，重量达39吨，涉案货值约34.68万余元。</w:t>
      </w:r>
    </w:p>
    <w:p w14:paraId="69451E7E">
      <w:pPr>
        <w:bidi w:val="0"/>
        <w:rPr>
          <w:rFonts w:hint="eastAsia"/>
          <w:color w:val="auto"/>
          <w:highlight w:val="none"/>
          <w:lang w:val="en-US" w:eastAsia="zh-CN"/>
        </w:rPr>
      </w:pPr>
      <w:r>
        <w:rPr>
          <w:rFonts w:hint="eastAsia"/>
          <w:color w:val="auto"/>
          <w:highlight w:val="none"/>
          <w:lang w:val="en-US" w:eastAsia="zh-CN"/>
        </w:rPr>
        <w:t>3.服务经济发展，不断提升质量</w:t>
      </w:r>
    </w:p>
    <w:p w14:paraId="402F23C3">
      <w:pPr>
        <w:bidi w:val="0"/>
        <w:rPr>
          <w:rFonts w:hint="eastAsia"/>
          <w:color w:val="auto"/>
          <w:highlight w:val="none"/>
          <w:lang w:val="en-US" w:eastAsia="zh-CN"/>
        </w:rPr>
      </w:pPr>
      <w:r>
        <w:rPr>
          <w:rFonts w:hint="eastAsia"/>
          <w:color w:val="auto"/>
          <w:highlight w:val="none"/>
          <w:lang w:val="en-US" w:eastAsia="zh-CN"/>
        </w:rPr>
        <w:t>坚持把质量强县工作作为助推县域经济高质量发展的大事和要事来抓，坚定不移推动我县企业走高质量发展道路。一是组织各类告诫培训会议，召开和静县电动车经营户告诫会、联合县农业农村局召开全县农资经营户产品质量提升工作会议等，参加培训200余人次，检定计量器具89台件次，有效促进计量器具质量安全；二是申报关于全面推行建立全区旅游行业“首席质量官”“标杆服务员”，上报首席质量官1个，标杆服务员4个，申报首席质量官3个，组织2个成员单位，观看了国务院质量强国新闻发布会，并召开了和静县质量强县工作会议，对工作进行了安排部署。</w:t>
      </w:r>
    </w:p>
    <w:p w14:paraId="429001DD">
      <w:pPr>
        <w:bidi w:val="0"/>
        <w:rPr>
          <w:rFonts w:hint="eastAsia"/>
          <w:color w:val="auto"/>
          <w:highlight w:val="none"/>
          <w:lang w:val="en-US" w:eastAsia="zh-CN"/>
        </w:rPr>
      </w:pPr>
      <w:r>
        <w:rPr>
          <w:rFonts w:hint="eastAsia"/>
          <w:color w:val="auto"/>
          <w:highlight w:val="none"/>
          <w:lang w:val="en-US" w:eastAsia="zh-CN"/>
        </w:rPr>
        <w:t>4.强化食品安全监管</w:t>
      </w:r>
    </w:p>
    <w:p w14:paraId="285C2B3E">
      <w:pPr>
        <w:bidi w:val="0"/>
        <w:rPr>
          <w:rFonts w:hint="eastAsia"/>
          <w:color w:val="auto"/>
          <w:highlight w:val="none"/>
          <w:lang w:val="en-US" w:eastAsia="zh-CN"/>
        </w:rPr>
      </w:pPr>
      <w:r>
        <w:rPr>
          <w:rFonts w:hint="eastAsia"/>
          <w:color w:val="auto"/>
          <w:highlight w:val="none"/>
          <w:lang w:val="en-US" w:eastAsia="zh-CN"/>
        </w:rPr>
        <w:t>一是以创建国家食品安全示范城市为抓手，扎实推进落实食品安全属地管理责任和企业主体责任，通过包保督导+日常监管，建立风险管控清单，健全“日管控、周排查、月调度”工作机制，精准防控风险隐患；二是瞄准校园食品安全、小作坊小餐饮食品安全、网络餐饮食品安全、制止餐饮浪费、旅游景区食品安全专项整治等。三是加大食品抽检力度，截至目前共抽检食品药品334批次，检测结果均为合格，开展“你点我检”活动4次21批次，其中6批次不合格，合格率96%。截至目前，共出动执法检查人员2181人次，检查食品经营户单位3148家次，下达当场行政处罚决定书203份，立案查处41件，结案32件，罚没款13.8003万元；已培训921家食品经营单位，累计受训从业人员达2123余人次。</w:t>
      </w:r>
    </w:p>
    <w:p w14:paraId="7EC5CE79">
      <w:pPr>
        <w:bidi w:val="0"/>
        <w:rPr>
          <w:rFonts w:hint="eastAsia"/>
          <w:color w:val="auto"/>
          <w:highlight w:val="none"/>
          <w:lang w:val="en-US" w:eastAsia="zh-CN"/>
        </w:rPr>
      </w:pPr>
      <w:r>
        <w:rPr>
          <w:rFonts w:hint="eastAsia"/>
          <w:color w:val="auto"/>
          <w:highlight w:val="none"/>
          <w:lang w:val="en-US" w:eastAsia="zh-CN"/>
        </w:rPr>
        <w:t>5.强化药械化安全监管</w:t>
      </w:r>
    </w:p>
    <w:p w14:paraId="2C4932AC">
      <w:pPr>
        <w:bidi w:val="0"/>
        <w:rPr>
          <w:rFonts w:hint="eastAsia"/>
          <w:color w:val="auto"/>
          <w:highlight w:val="none"/>
          <w:lang w:val="en-US" w:eastAsia="zh-CN"/>
        </w:rPr>
      </w:pPr>
      <w:r>
        <w:rPr>
          <w:rFonts w:hint="eastAsia"/>
          <w:color w:val="auto"/>
          <w:highlight w:val="none"/>
          <w:lang w:val="en-US" w:eastAsia="zh-CN"/>
        </w:rPr>
        <w:t>一是开展季度例会宣传培训3场次，参与人次260人次，基层科普群众6场次，通过线上线下开展科普宣传进校园、进社区，共计宣传1499人次，发放宣传资料1000余份；开展联合检查10次，检查医疗机构68家，零售药店143家，疫苗存放、接种单位14家，化妆品和生活美容店92家，医疗器械经营使用单位81家，下达责令整改通知书75份，当罚32份，并上交整改报告36份，立案28起，结案13起，罚没款10.8万元；二是持续开展药品不良反应、医疗器械不良事件、化妆品不良反应、药物滥用监测工作，上报药品不良反应136例，医疗器械不良反应事件35例，化妆品不良反应38例，药物滥用上报14例；三是加大药品抽检力度，截至目前药品抽检16批次，化妆品网抽1批次，医疗器械抽检4批次，未发现不合格药品。</w:t>
      </w:r>
    </w:p>
    <w:p w14:paraId="060BB356">
      <w:pPr>
        <w:bidi w:val="0"/>
        <w:rPr>
          <w:rFonts w:hint="eastAsia"/>
          <w:color w:val="auto"/>
          <w:highlight w:val="none"/>
          <w:lang w:val="en-US" w:eastAsia="zh-CN"/>
        </w:rPr>
      </w:pPr>
      <w:r>
        <w:rPr>
          <w:rFonts w:hint="eastAsia"/>
          <w:color w:val="auto"/>
          <w:highlight w:val="none"/>
          <w:lang w:val="en-US" w:eastAsia="zh-CN"/>
        </w:rPr>
        <w:t>6.强化产品质量安全监管</w:t>
      </w:r>
    </w:p>
    <w:p w14:paraId="6942AD76">
      <w:pPr>
        <w:bidi w:val="0"/>
        <w:rPr>
          <w:rFonts w:hint="eastAsia"/>
          <w:color w:val="auto"/>
          <w:highlight w:val="none"/>
          <w:lang w:val="en-US" w:eastAsia="zh-CN"/>
        </w:rPr>
      </w:pPr>
      <w:r>
        <w:rPr>
          <w:rFonts w:hint="eastAsia"/>
          <w:color w:val="auto"/>
          <w:highlight w:val="none"/>
          <w:lang w:val="en-US" w:eastAsia="zh-CN"/>
        </w:rPr>
        <w:t>一是全面开展电线电缆、电动车、五金产品、消防产品、校园周边儿童玩具等领域的专项检查，共检查210家；二是开展农用物资检查，共检查152家，对全县2家地膜生产企业全覆盖检查9次、27家销售户全覆盖检查了6次；三是开展强制性标准的专项监督检查，共检查234次，公示17条标准，对标达标5个，完成条码续展4家；四是开展质量强县工作，加强小微企业质量提升工作，组织召开小微企业质量提升培训会，对28家小微企业开展帮扶指导；出动人员40余人，发放各类宣传资料1200份，受宣教群众300余人。截至目前，共立案11起，结案9起，罚没款30981.75元，移送公安机关1件。</w:t>
      </w:r>
    </w:p>
    <w:p w14:paraId="1C714EE7">
      <w:pPr>
        <w:bidi w:val="0"/>
        <w:rPr>
          <w:rFonts w:hint="eastAsia"/>
          <w:color w:val="auto"/>
          <w:highlight w:val="none"/>
          <w:lang w:val="en-US" w:eastAsia="zh-CN"/>
        </w:rPr>
      </w:pPr>
      <w:r>
        <w:rPr>
          <w:rFonts w:hint="eastAsia"/>
          <w:color w:val="auto"/>
          <w:highlight w:val="none"/>
          <w:lang w:val="en-US" w:eastAsia="zh-CN"/>
        </w:rPr>
        <w:t>7.强化特种设备安全监管</w:t>
      </w:r>
    </w:p>
    <w:p w14:paraId="7C60125F">
      <w:pPr>
        <w:bidi w:val="0"/>
        <w:rPr>
          <w:rFonts w:hint="eastAsia"/>
          <w:color w:val="auto"/>
          <w:highlight w:val="none"/>
          <w:lang w:val="en-US" w:eastAsia="zh-CN"/>
        </w:rPr>
      </w:pPr>
      <w:r>
        <w:rPr>
          <w:rFonts w:hint="eastAsia"/>
          <w:color w:val="auto"/>
          <w:highlight w:val="none"/>
          <w:lang w:val="en-US" w:eastAsia="zh-CN"/>
        </w:rPr>
        <w:t>突出开展了电梯、压力容器、起重机、大型游乐设施、场内专用机动车辆等一系列特种设备安全整治工作。累计共检查特种设备使用单位229家，整改隐患561起，特种设备使用单位监管覆盖率达100%，组织培训会4场次，参训人员161人次，办理《特种设备使用登记证》112 份，签订落实安全主体责任承诺书227份，立案7件。</w:t>
      </w:r>
    </w:p>
    <w:p w14:paraId="40161875">
      <w:pPr>
        <w:bidi w:val="0"/>
        <w:rPr>
          <w:rFonts w:hint="eastAsia"/>
          <w:color w:val="auto"/>
          <w:highlight w:val="none"/>
          <w:lang w:val="en-US" w:eastAsia="zh-CN"/>
        </w:rPr>
      </w:pPr>
      <w:r>
        <w:rPr>
          <w:rFonts w:hint="eastAsia"/>
          <w:color w:val="auto"/>
          <w:highlight w:val="none"/>
          <w:lang w:val="en-US" w:eastAsia="zh-CN"/>
        </w:rPr>
        <w:t>8.强化知识产权监管工作</w:t>
      </w:r>
    </w:p>
    <w:p w14:paraId="143CC158">
      <w:pPr>
        <w:bidi w:val="0"/>
        <w:rPr>
          <w:rFonts w:hint="eastAsia"/>
          <w:color w:val="auto"/>
          <w:highlight w:val="none"/>
          <w:lang w:val="en-US" w:eastAsia="zh-CN"/>
        </w:rPr>
      </w:pPr>
      <w:r>
        <w:rPr>
          <w:rFonts w:hint="eastAsia"/>
          <w:color w:val="auto"/>
          <w:highlight w:val="none"/>
          <w:lang w:val="en-US" w:eastAsia="zh-CN"/>
        </w:rPr>
        <w:t>一是强化广告监管力度，检查和静县内以抖音、微信视频号、小红书发布自媒体广告的行为，截至目前检查和静县域内互联网广告平台65家，立案虚假违法广告案9件，结案5件，罚没款1.34万元；二是狠抓重点领域监管，联合教科局、公安局等多个部门，制定了我县医疗美容突出问题专项整治方案，联合9个部门进行检查，检查医疗美容机构120家次，截至目前办理美容行业广告案件6起，网联网广告案件3起；三是强化案件查办力度，联合宣传部文旅局开展广告经营企业、印刷厂、打字复印店的联合专项检查6次，检查广告公司43户，打字复印店21户，印刷厂3家，未发现违法行为；四是由我局与县委宣传部联合成员单位7个部门开展知识产权相关的法律法规宣传咨询活动，发放宣传手册100余份，截至目前查办知识产权案件4起，结案2起，罚没款8000元，没收假冒南孚电池1959个。</w:t>
      </w:r>
    </w:p>
    <w:p w14:paraId="37CE01B0">
      <w:pPr>
        <w:bidi w:val="0"/>
        <w:rPr>
          <w:rFonts w:hint="eastAsia"/>
          <w:color w:val="auto"/>
          <w:highlight w:val="none"/>
          <w:lang w:val="en-US" w:eastAsia="zh-CN"/>
        </w:rPr>
      </w:pPr>
      <w:r>
        <w:rPr>
          <w:rFonts w:hint="eastAsia"/>
          <w:color w:val="auto"/>
          <w:highlight w:val="none"/>
          <w:lang w:val="en-US" w:eastAsia="zh-CN"/>
        </w:rPr>
        <w:t>9.开展民生领域“铁拳”行动</w:t>
      </w:r>
    </w:p>
    <w:p w14:paraId="6D055B62">
      <w:pPr>
        <w:bidi w:val="0"/>
        <w:rPr>
          <w:rFonts w:hint="eastAsia"/>
          <w:color w:val="auto"/>
          <w:highlight w:val="none"/>
          <w:lang w:val="en-US" w:eastAsia="zh-CN"/>
        </w:rPr>
      </w:pPr>
      <w:r>
        <w:rPr>
          <w:rFonts w:hint="eastAsia"/>
          <w:color w:val="auto"/>
          <w:highlight w:val="none"/>
          <w:lang w:val="en-US" w:eastAsia="zh-CN"/>
        </w:rPr>
        <w:t>一是结合我县实际，围绕食用油安全、汽柴油品质量、医疗美容宣传、特设安全、燃气具质量、未成年人保护、检验检测检定认证市场等方面，截至目前：检查各类主体1260家，共办理6种类型案件，累计立案85件，结案25件，罚没款14.25万元；二是开展“双打工作”检查各类主体870家，共查立案24件，结案17件，罚没款9.58万元，案件信息公开率100%。</w:t>
      </w:r>
    </w:p>
    <w:p w14:paraId="16EA0746">
      <w:pPr>
        <w:bidi w:val="0"/>
        <w:rPr>
          <w:rFonts w:hint="eastAsia"/>
          <w:color w:val="auto"/>
          <w:highlight w:val="none"/>
          <w:lang w:val="en-US" w:eastAsia="zh-CN"/>
        </w:rPr>
      </w:pPr>
      <w:r>
        <w:rPr>
          <w:rFonts w:hint="eastAsia"/>
          <w:color w:val="auto"/>
          <w:highlight w:val="none"/>
          <w:lang w:val="en-US" w:eastAsia="zh-CN"/>
        </w:rPr>
        <w:t>10.开展专项整治，全力净化市场环境</w:t>
      </w:r>
    </w:p>
    <w:p w14:paraId="11F5BD30">
      <w:pPr>
        <w:bidi w:val="0"/>
        <w:rPr>
          <w:rFonts w:hint="eastAsia"/>
          <w:color w:val="auto"/>
          <w:highlight w:val="none"/>
          <w:lang w:val="en-US" w:eastAsia="zh-CN"/>
        </w:rPr>
      </w:pPr>
      <w:r>
        <w:rPr>
          <w:rFonts w:hint="eastAsia"/>
          <w:color w:val="auto"/>
          <w:highlight w:val="none"/>
          <w:lang w:val="en-US" w:eastAsia="zh-CN"/>
        </w:rPr>
        <w:t>组织开展了扫黑除恶、扫黄打非、守护戎装、保护野生动物、反电信网络诈骗、非法集资、养老诈骗等专项执法检查，检查市场主体2063家，未发现违法行为；今年，我局收到“三书一函”反馈餐饮行业、市场流通领域缺乏监管等问题9件，反馈问题均已整改完毕；集中开展宣传教育活动18场次，发放宣传资料约900余份。</w:t>
      </w:r>
    </w:p>
    <w:p w14:paraId="1BAA714F">
      <w:pPr>
        <w:bidi w:val="0"/>
        <w:rPr>
          <w:rFonts w:hint="eastAsia"/>
          <w:color w:val="auto"/>
          <w:highlight w:val="none"/>
          <w:lang w:val="en-US" w:eastAsia="zh-CN"/>
        </w:rPr>
      </w:pPr>
      <w:r>
        <w:rPr>
          <w:rFonts w:hint="eastAsia"/>
          <w:color w:val="auto"/>
          <w:highlight w:val="none"/>
          <w:lang w:val="en-US" w:eastAsia="zh-CN"/>
        </w:rPr>
        <w:t>截至目前，我局共立案163件，办结95件，罚没款51.136万元，不予行政处罚7件。</w:t>
      </w:r>
    </w:p>
    <w:p w14:paraId="499AC333">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E704ADA">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DFA9D9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8BED6C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我单位年初预算数为1116.93万元，实际预算执行数1116.93万元，预算执行率为100%。</w:t>
      </w:r>
    </w:p>
    <w:p w14:paraId="3094AC9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FF67FA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全年预算数为1246.28万元，全年实际支出资金1246.28万元，预算执行率为100%。</w:t>
      </w:r>
    </w:p>
    <w:p w14:paraId="43F3B02F">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E019CD0">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1246.28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w:t>
      </w:r>
    </w:p>
    <w:p w14:paraId="0726DDAE">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40DC8B4">
      <w:pPr>
        <w:bidi w:val="0"/>
        <w:rPr>
          <w:rFonts w:hint="default"/>
          <w:color w:val="auto"/>
          <w:highlight w:val="none"/>
          <w:lang w:val="en-US" w:eastAsia="zh-CN"/>
        </w:rPr>
      </w:pPr>
      <w:r>
        <w:rPr>
          <w:rFonts w:hint="default"/>
          <w:color w:val="auto"/>
          <w:highlight w:val="none"/>
          <w:lang w:val="en-US" w:eastAsia="zh-CN"/>
        </w:rPr>
        <w:t>我单位2023年度部门整体支出为1246.28万元，其中：</w:t>
      </w:r>
    </w:p>
    <w:p w14:paraId="0662D097">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1145.82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1075.57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70.25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336DF53">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100.46</w:t>
      </w:r>
      <w:r>
        <w:rPr>
          <w:rFonts w:hint="default"/>
          <w:color w:val="auto"/>
          <w:highlight w:val="none"/>
          <w:lang w:val="en-US" w:eastAsia="zh-CN"/>
        </w:rPr>
        <w:t>万元，主要用于保障</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、2023年食品监督安全各项抽检费及食品监督安全举报奖励等项目、再生资源循环再利用建设项目前期费用项目等项目支出。</w:t>
      </w:r>
    </w:p>
    <w:p w14:paraId="7A882AA7">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4A6F8B5">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9665A7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1145.82万元，全年实际支出1145.82万元，资金执行率100%。基本支出严格按照财务管理制度执行，其中：</w:t>
      </w:r>
    </w:p>
    <w:p w14:paraId="1DE25E00">
      <w:pPr>
        <w:bidi w:val="0"/>
        <w:rPr>
          <w:rFonts w:hint="eastAsia"/>
          <w:color w:val="auto"/>
          <w:highlight w:val="none"/>
          <w:lang w:val="en-US" w:eastAsia="zh-CN"/>
        </w:rPr>
      </w:pPr>
      <w:r>
        <w:rPr>
          <w:rFonts w:hint="eastAsia"/>
          <w:color w:val="auto"/>
          <w:highlight w:val="none"/>
          <w:lang w:val="en-US" w:eastAsia="zh-CN"/>
        </w:rPr>
        <w:t>人员经费支出1075.57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6664C4BF">
      <w:pPr>
        <w:bidi w:val="0"/>
        <w:rPr>
          <w:rFonts w:hint="eastAsia"/>
          <w:color w:val="auto"/>
          <w:highlight w:val="none"/>
          <w:lang w:val="en-US" w:eastAsia="zh-CN"/>
        </w:rPr>
      </w:pPr>
      <w:r>
        <w:rPr>
          <w:rFonts w:hint="eastAsia"/>
          <w:color w:val="auto"/>
          <w:highlight w:val="none"/>
          <w:lang w:val="en-US" w:eastAsia="zh-CN"/>
        </w:rPr>
        <w:t>公用经费支出70.25万元，主要包括：办公费、印刷费、水费、电费、邮电费、取暖费、物业管理费、差旅费、培训费、公务接待费、工会经费、福利费、公务用车运行维护费、其他交通费用、其他商品和服务支出。</w:t>
      </w:r>
    </w:p>
    <w:p w14:paraId="0445E021">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057D04BF">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1F5FB9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项目支出预算100.46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其中：上级专项资金0万元，本级财政资金100.46万元</w:t>
      </w:r>
      <w:r>
        <w:rPr>
          <w:rFonts w:hint="eastAsia"/>
          <w:color w:val="auto"/>
          <w:highlight w:val="none"/>
          <w:lang w:eastAsia="zh-CN"/>
        </w:rPr>
        <w:t>。</w:t>
      </w:r>
    </w:p>
    <w:p w14:paraId="34977DF9">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1D1BD0C2">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100.46万元，其中</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w:t>
      </w:r>
      <w:r>
        <w:rPr>
          <w:rFonts w:hint="eastAsia"/>
          <w:color w:val="auto"/>
          <w:highlight w:val="none"/>
          <w:lang w:val="en-US" w:eastAsia="zh-CN"/>
        </w:rPr>
        <w:t>共100.46万元项目资金全部通过财政国库集中支付方式直接拨给项目实施单位。</w:t>
      </w:r>
    </w:p>
    <w:p w14:paraId="59D67024">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14:paraId="197768BE">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0CC6F6E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度安排项目支出资金100.46万元，</w:t>
      </w:r>
      <w:r>
        <w:rPr>
          <w:rFonts w:hint="eastAsia"/>
          <w:color w:val="auto"/>
          <w:highlight w:val="none"/>
          <w:lang w:eastAsia="zh-CN"/>
        </w:rPr>
        <w:t>实际</w:t>
      </w:r>
      <w:r>
        <w:rPr>
          <w:rFonts w:hint="eastAsia"/>
          <w:color w:val="auto"/>
          <w:highlight w:val="none"/>
          <w:lang w:val="en-US" w:eastAsia="zh-CN"/>
        </w:rPr>
        <w:t>支出100.46</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其中：上级专项资金支出0万元，本级财政安排项目资金支出100.46万元，项目预算资金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7527B27B">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包括药品事务支出</w:t>
      </w:r>
      <w:r>
        <w:rPr>
          <w:rFonts w:hint="eastAsia"/>
          <w:color w:val="auto"/>
          <w:highlight w:val="none"/>
          <w:lang w:val="en-US" w:eastAsia="zh-CN"/>
        </w:rPr>
        <w:t>3</w:t>
      </w:r>
      <w:r>
        <w:rPr>
          <w:rFonts w:hint="default"/>
          <w:color w:val="auto"/>
          <w:highlight w:val="none"/>
          <w:lang w:val="en-US" w:eastAsia="zh-CN"/>
        </w:rPr>
        <w:t>万元，其他市场监督管理事务支出</w:t>
      </w:r>
      <w:r>
        <w:rPr>
          <w:rFonts w:hint="eastAsia"/>
          <w:color w:val="auto"/>
          <w:highlight w:val="none"/>
          <w:lang w:val="en-US" w:eastAsia="zh-CN"/>
        </w:rPr>
        <w:t>97.46</w:t>
      </w:r>
      <w:r>
        <w:rPr>
          <w:rFonts w:hint="default"/>
          <w:color w:val="auto"/>
          <w:highlight w:val="none"/>
          <w:lang w:val="en-US" w:eastAsia="zh-CN"/>
        </w:rPr>
        <w:t>万元，</w:t>
      </w:r>
    </w:p>
    <w:bookmarkEnd w:id="2"/>
    <w:p w14:paraId="15C6F70C">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9F2BF77">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87EEC1D">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一）在职人员经费保障率</w:t>
      </w:r>
      <w:r>
        <w:rPr>
          <w:rFonts w:hint="eastAsia"/>
          <w:color w:val="auto"/>
          <w:highlight w:val="none"/>
        </w:rPr>
        <w:t>指标完成情况分析</w:t>
      </w:r>
    </w:p>
    <w:p w14:paraId="1B97CF79">
      <w:pPr>
        <w:bidi w:val="0"/>
        <w:rPr>
          <w:rFonts w:hint="eastAsia"/>
          <w:color w:val="auto"/>
          <w:highlight w:val="none"/>
          <w:lang w:val="en-US" w:eastAsia="zh-CN"/>
        </w:rPr>
      </w:pPr>
      <w:r>
        <w:rPr>
          <w:rFonts w:hint="eastAsia"/>
          <w:color w:val="auto"/>
          <w:highlight w:val="none"/>
          <w:lang w:val="en-US" w:eastAsia="zh-CN"/>
        </w:rPr>
        <w:t>在职人员经费保障率指标年初设定目标是100%，年中绩效运行监控时完成值100%，年终实际完成值是100%，指标完成率是100%，达到了单位在职职工工资的按时足额发放，单位的正常运转，广大干部职工工作积极性提高的预期目标。偏差原因：无偏差。</w:t>
      </w:r>
    </w:p>
    <w:p w14:paraId="00417E6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二）项目支出预算执行率</w:t>
      </w:r>
      <w:r>
        <w:rPr>
          <w:rFonts w:hint="eastAsia"/>
          <w:color w:val="auto"/>
          <w:highlight w:val="none"/>
        </w:rPr>
        <w:t>指标完成情况分析</w:t>
      </w:r>
    </w:p>
    <w:p w14:paraId="406263E0">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04BA4AB4">
      <w:pPr>
        <w:bidi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（三）“三公经费”控制率指标完成情况分析</w:t>
      </w:r>
    </w:p>
    <w:p w14:paraId="601C9C4C">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14:paraId="5762747E">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（四）食品药品监管抽查次数指标完成情况分析</w:t>
      </w:r>
    </w:p>
    <w:p w14:paraId="75C3E374">
      <w:pPr>
        <w:rPr>
          <w:rFonts w:hint="eastAsia"/>
          <w:color w:val="auto"/>
          <w:highlight w:val="none"/>
          <w:lang w:val="en-US" w:eastAsia="zh-CN"/>
        </w:rPr>
      </w:pPr>
      <w:r>
        <w:rPr>
          <w:rFonts w:hint="eastAsia"/>
          <w:color w:val="auto"/>
          <w:highlight w:val="none"/>
          <w:lang w:val="en-US" w:eastAsia="zh-CN"/>
        </w:rPr>
        <w:t>食品药品监管抽查次数指标年初设定目标是≥200次，年中绩效运行监控时完成值100次，年终实际完成值是200次，指标完成率是100%，达到通过履行的各项职责，确保全县食品安全药品及特种设备安全使用，监管对象的满意度和人民群众的满意预期目标。偏差原因：无偏差。</w:t>
      </w:r>
    </w:p>
    <w:p w14:paraId="73F0F7F4">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（五）特种设备使用单位监管覆盖率</w:t>
      </w:r>
      <w:r>
        <w:rPr>
          <w:rFonts w:hint="eastAsia"/>
          <w:color w:val="auto"/>
          <w:highlight w:val="none"/>
          <w:lang w:val="en-US" w:eastAsia="zh-CN"/>
        </w:rPr>
        <w:tab/>
      </w:r>
      <w:r>
        <w:rPr>
          <w:rFonts w:hint="eastAsia"/>
          <w:color w:val="auto"/>
          <w:highlight w:val="none"/>
          <w:lang w:val="en-US" w:eastAsia="zh-CN"/>
        </w:rPr>
        <w:t>指标完成情况分析</w:t>
      </w:r>
    </w:p>
    <w:p w14:paraId="372D5A3E">
      <w:pPr>
        <w:rPr>
          <w:rFonts w:hint="eastAsia"/>
          <w:color w:val="auto"/>
          <w:highlight w:val="none"/>
          <w:lang w:val="en-US" w:eastAsia="zh-CN"/>
        </w:rPr>
      </w:pPr>
      <w:r>
        <w:rPr>
          <w:rFonts w:hint="eastAsia"/>
          <w:color w:val="auto"/>
          <w:highlight w:val="none"/>
          <w:lang w:val="en-US" w:eastAsia="zh-CN"/>
        </w:rPr>
        <w:t>特种设备使用单位监管覆盖率指标年初设定目标是100%，年中绩效运行监控时完成值100%，年终实际完成值是100%，指标完成率是100%，达到落实监督落实药品、医疗器械和化妆品监管制度，负责药品零售、医疗器械经营许可、检查和处罚，以及化妆品经营和药品、医疗机械使用环节质量的检查和处罚各项工作的运转，确保无重大安全事故的发生预期目标。偏差原因：无偏差。</w:t>
      </w:r>
    </w:p>
    <w:p w14:paraId="1DE583CF">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（六）办理、变更营业执照数指标完成情况分析</w:t>
      </w:r>
    </w:p>
    <w:p w14:paraId="0C6D2FA2">
      <w:pPr>
        <w:rPr>
          <w:rFonts w:hint="eastAsia"/>
          <w:color w:val="auto"/>
          <w:highlight w:val="none"/>
          <w:lang w:val="en-US" w:eastAsia="zh-CN"/>
        </w:rPr>
      </w:pPr>
      <w:r>
        <w:rPr>
          <w:rFonts w:hint="eastAsia"/>
          <w:color w:val="auto"/>
          <w:highlight w:val="none"/>
          <w:lang w:val="en-US" w:eastAsia="zh-CN"/>
        </w:rPr>
        <w:t>办理、变更营业执照数量指标年初设定目标是≥200家，年中绩效运行监控时完成100家，年终实际完成值是200家，指标完成率是100%，达到市场综合监督管理和知识产权管理、市场主体的统一登记、反垄断统一执法、质量管理工作、特种设备安全监管管理、食品安全监督管理综合协调、食品安全监督管理，消费维权投诉案件及时办理预期目标。偏差原因：无偏差。</w:t>
      </w:r>
    </w:p>
    <w:p w14:paraId="72A672E0">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（七）监管对象的满意度指标完成情况分析</w:t>
      </w:r>
    </w:p>
    <w:p w14:paraId="2098B140">
      <w:pPr>
        <w:rPr>
          <w:rFonts w:hint="eastAsia"/>
          <w:color w:val="auto"/>
          <w:highlight w:val="none"/>
          <w:lang w:val="en-US" w:eastAsia="zh-CN"/>
        </w:rPr>
      </w:pPr>
      <w:r>
        <w:rPr>
          <w:rFonts w:hint="eastAsia"/>
          <w:color w:val="auto"/>
          <w:highlight w:val="none"/>
          <w:lang w:val="en-US" w:eastAsia="zh-CN"/>
        </w:rPr>
        <w:t>监管对象的满意度指标年初设定目标是≥95%，年中绩效运行监控时完成值未达到监控节点，年终实际完成值是100%，指标完成率是100%，达到提高监管对象的满意度和人民群众的满意预期目标。偏差原因：无偏差。</w:t>
      </w:r>
    </w:p>
    <w:p w14:paraId="4D5C2F35">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4E00766">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CF75D33">
      <w:pPr>
        <w:bidi w:val="0"/>
        <w:rPr>
          <w:rFonts w:hint="eastAsia" w:eastAsia="仿宋"/>
          <w:color w:val="auto"/>
          <w:highlight w:val="none"/>
          <w:lang w:eastAsia="zh-CN"/>
        </w:rPr>
      </w:pPr>
      <w:r>
        <w:rPr>
          <w:rFonts w:hint="eastAsia" w:ascii="Times New Roman" w:hAnsi="Times New Roman" w:cs="Times New Roman"/>
          <w:color w:val="auto"/>
          <w:highlight w:val="none"/>
          <w:lang w:eastAsia="zh-CN"/>
        </w:rPr>
        <w:t>保障在职人员工资、社保、医疗、公积金等经费及时支付、房屋建筑物正常供暖、公务车辆经常运行、部门工作正常开展；负责市场综合监督管理和知识产权管理、市场主体的统一登记、反垄断统一执法、负责质量管理工作、负责特种设备安全监管管理、负责食品安全监督管理综合协调、负责食品安全监督管理。消费维权投诉案件及时办理；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14:paraId="1F4E2D7D">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4E3F716">
      <w:pPr>
        <w:bidi w:val="0"/>
        <w:rPr>
          <w:rFonts w:hint="eastAsia"/>
          <w:color w:val="auto"/>
          <w:highlight w:val="none"/>
          <w:lang w:val="en-US" w:eastAsia="zh-CN"/>
        </w:rPr>
      </w:pPr>
      <w:r>
        <w:rPr>
          <w:rFonts w:hint="eastAsia"/>
          <w:color w:val="auto"/>
          <w:highlight w:val="none"/>
          <w:lang w:val="en-US" w:eastAsia="zh-CN"/>
        </w:rPr>
        <w:t>1、相关人员在绩效目标编制上依然有欠缺，绩效目标设立不够明确、细化和量化。对绩效分析也不够透彻部分指标设置不够合理，未能考虑当年人员变动及工作要求变动情况，不能很好反映当年工作开展及完成情况；</w:t>
      </w:r>
    </w:p>
    <w:p w14:paraId="137CCB8F">
      <w:pPr>
        <w:bidi w:val="0"/>
        <w:rPr>
          <w:rFonts w:hint="eastAsia"/>
          <w:color w:val="auto"/>
          <w:highlight w:val="none"/>
          <w:lang w:val="en-US" w:eastAsia="zh-CN"/>
        </w:rPr>
      </w:pPr>
      <w:r>
        <w:rPr>
          <w:rFonts w:hint="eastAsia"/>
          <w:color w:val="auto"/>
          <w:highlight w:val="none"/>
          <w:lang w:val="en-US" w:eastAsia="zh-CN"/>
        </w:rPr>
        <w:t>2、对预算绩效管理不够重视，单位职能科室之间的分工不够明确。预算绩效管理的工作虽由财务部门牵头，但大部分项目预算资金绩效目标表由单位财务人员填报，而单位财务人员而非项目负责人，对项目立项、申报、实施进展情况不了解，导致绩效目标不准确、不细化。</w:t>
      </w:r>
    </w:p>
    <w:p w14:paraId="20901F74">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4756683B">
      <w:pPr>
        <w:bidi w:val="0"/>
        <w:rPr>
          <w:rFonts w:hint="eastAsia"/>
          <w:color w:val="auto"/>
          <w:highlight w:val="none"/>
          <w:lang w:val="en-US" w:eastAsia="zh-CN"/>
        </w:rPr>
      </w:pPr>
      <w:r>
        <w:rPr>
          <w:rFonts w:hint="eastAsia"/>
          <w:color w:val="auto"/>
          <w:highlight w:val="none"/>
          <w:lang w:val="en-US" w:eastAsia="zh-CN"/>
        </w:rPr>
        <w:t>1、强化预算绩效管理工作，编制预算绩效目标时要求指向明确、细化量化、合理可行、相应匹配。加强项目实时监控，严格按照相关要求对相关项目的资金进行使用，确保资金使用及时有效。</w:t>
      </w:r>
    </w:p>
    <w:p w14:paraId="17260B9D">
      <w:pPr>
        <w:bidi w:val="0"/>
        <w:rPr>
          <w:rFonts w:hint="default"/>
          <w:color w:val="auto"/>
          <w:highlight w:val="none"/>
          <w:lang w:val="en-US" w:eastAsia="zh-CN"/>
        </w:rPr>
      </w:pPr>
      <w:r>
        <w:rPr>
          <w:rFonts w:hint="eastAsia"/>
          <w:color w:val="auto"/>
          <w:highlight w:val="none"/>
          <w:lang w:val="en-US" w:eastAsia="zh-CN"/>
        </w:rPr>
        <w:t>2、高度重视预算绩效管理工作，大力推进部门预算绩效管理意识培养，高度重视预算绩效管理工作，进一步明确各职能科室的职责分工，加强分工协作和绩效管理理念的宣传，提高预算绩效管理工作质量，建立健全部门预算绩效管理配套机制体制、完善部门预算绩效自评和公开等规章制度并严格按照规定完成各项工作。</w:t>
      </w:r>
    </w:p>
    <w:p w14:paraId="759C4E89">
      <w:pPr>
        <w:pStyle w:val="3"/>
        <w:bidi w:val="0"/>
        <w:rPr>
          <w:rFonts w:hint="default"/>
          <w:color w:val="auto"/>
          <w:highlight w:val="none"/>
          <w:lang w:val="en-US" w:eastAsia="zh-CN"/>
        </w:rPr>
      </w:pPr>
      <w:r>
        <w:rPr>
          <w:rFonts w:hint="eastAsia"/>
          <w:color w:val="auto"/>
          <w:highlight w:val="none"/>
          <w:lang w:val="en-US" w:eastAsia="zh-CN"/>
        </w:rPr>
        <w:t>七、附件上传</w:t>
      </w:r>
    </w:p>
    <w:p w14:paraId="6BAC2C5A">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A3701">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9BA9F3F">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252FA6"/>
    <w:rsid w:val="0C6738B8"/>
    <w:rsid w:val="0E7D784C"/>
    <w:rsid w:val="10300946"/>
    <w:rsid w:val="10FE60D7"/>
    <w:rsid w:val="134F7771"/>
    <w:rsid w:val="13E513B9"/>
    <w:rsid w:val="140572B4"/>
    <w:rsid w:val="158C5316"/>
    <w:rsid w:val="15B904C0"/>
    <w:rsid w:val="165C118C"/>
    <w:rsid w:val="172D035F"/>
    <w:rsid w:val="175D58E3"/>
    <w:rsid w:val="18061B60"/>
    <w:rsid w:val="18F17987"/>
    <w:rsid w:val="190C3DF8"/>
    <w:rsid w:val="19AA4D08"/>
    <w:rsid w:val="19F83E30"/>
    <w:rsid w:val="1B403139"/>
    <w:rsid w:val="1BAD163F"/>
    <w:rsid w:val="1C6D319F"/>
    <w:rsid w:val="1CB655BF"/>
    <w:rsid w:val="1D384A93"/>
    <w:rsid w:val="1D4D74D6"/>
    <w:rsid w:val="1DE32CFD"/>
    <w:rsid w:val="1F1A602A"/>
    <w:rsid w:val="1F2854B6"/>
    <w:rsid w:val="1F690DA3"/>
    <w:rsid w:val="217D20CE"/>
    <w:rsid w:val="21C67E02"/>
    <w:rsid w:val="21C768CD"/>
    <w:rsid w:val="22E14253"/>
    <w:rsid w:val="23931BB2"/>
    <w:rsid w:val="23F209A3"/>
    <w:rsid w:val="2403516E"/>
    <w:rsid w:val="256A2A9E"/>
    <w:rsid w:val="27F7226E"/>
    <w:rsid w:val="2805537E"/>
    <w:rsid w:val="289437EE"/>
    <w:rsid w:val="297873DB"/>
    <w:rsid w:val="29F35E61"/>
    <w:rsid w:val="2A285817"/>
    <w:rsid w:val="2B3C6699"/>
    <w:rsid w:val="2B6F150A"/>
    <w:rsid w:val="2BB557CB"/>
    <w:rsid w:val="2BC51751"/>
    <w:rsid w:val="2D166684"/>
    <w:rsid w:val="2E083AA6"/>
    <w:rsid w:val="2EBF757D"/>
    <w:rsid w:val="2F3B6334"/>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BA5C34"/>
    <w:rsid w:val="46EC7F14"/>
    <w:rsid w:val="4754756E"/>
    <w:rsid w:val="47CA7D9C"/>
    <w:rsid w:val="47DB3D58"/>
    <w:rsid w:val="48194880"/>
    <w:rsid w:val="48AF4C7F"/>
    <w:rsid w:val="4940465E"/>
    <w:rsid w:val="4A5B46DD"/>
    <w:rsid w:val="4A6F6A56"/>
    <w:rsid w:val="4A81677A"/>
    <w:rsid w:val="4B3B5348"/>
    <w:rsid w:val="4C53618C"/>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7F3CF8"/>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2AE7D36"/>
    <w:rsid w:val="733F48EB"/>
    <w:rsid w:val="74212849"/>
    <w:rsid w:val="744C1D4E"/>
    <w:rsid w:val="748A4F72"/>
    <w:rsid w:val="74961819"/>
    <w:rsid w:val="750202C6"/>
    <w:rsid w:val="75664078"/>
    <w:rsid w:val="761E4132"/>
    <w:rsid w:val="76745D8E"/>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7413</Words>
  <Characters>7987</Characters>
  <Lines>7</Lines>
  <Paragraphs>2</Paragraphs>
  <TotalTime>2</TotalTime>
  <ScaleCrop>false</ScaleCrop>
  <LinksUpToDate>false</LinksUpToDate>
  <CharactersWithSpaces>7990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2024-11-22T03:05:16Z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