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51A5D">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和静县巩乃斯镇卫生院</w:t>
      </w:r>
    </w:p>
    <w:p w14:paraId="49C4AFBF">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278A2C77">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DDFF4DC">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56A84A4C">
      <w:pPr>
        <w:pStyle w:val="2"/>
        <w:bidi w:val="0"/>
        <w:rPr>
          <w:rFonts w:hint="eastAsia"/>
          <w:color w:val="auto"/>
          <w:highlight w:val="none"/>
          <w:lang w:val="en-US" w:eastAsia="zh-CN"/>
        </w:rPr>
      </w:pPr>
      <w:r>
        <w:rPr>
          <w:rFonts w:hint="eastAsia"/>
          <w:color w:val="auto"/>
          <w:highlight w:val="none"/>
          <w:lang w:val="en-US" w:eastAsia="zh-CN"/>
        </w:rPr>
        <w:t>1.部门主要职能</w:t>
      </w:r>
    </w:p>
    <w:p w14:paraId="325DBC6A">
      <w:pPr>
        <w:rPr>
          <w:rFonts w:hint="eastAsia"/>
          <w:color w:val="auto"/>
          <w:szCs w:val="28"/>
          <w:highlight w:val="none"/>
        </w:rPr>
      </w:pPr>
      <w:r>
        <w:rPr>
          <w:rFonts w:hint="eastAsia"/>
          <w:color w:val="auto"/>
          <w:szCs w:val="28"/>
          <w:highlight w:val="none"/>
          <w:lang w:val="en-US" w:eastAsia="zh-CN"/>
        </w:rPr>
        <w:t>和静县巩乃斯镇卫生院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4576DD9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191A77D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514FF73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32D1409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5F218C9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5EFBDD2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76651F6A">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08E11524">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hAnsi="宋体" w:eastAsia="仿宋_GB2312"/>
          <w:color w:val="auto"/>
          <w:sz w:val="28"/>
          <w:szCs w:val="28"/>
          <w:highlight w:val="none"/>
          <w:lang w:eastAsia="zh-CN"/>
        </w:rPr>
        <w:t>和静县巩乃斯镇卫生院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2</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14:paraId="1223B337">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hAnsi="宋体" w:eastAsia="仿宋_GB2312"/>
          <w:color w:val="auto"/>
          <w:sz w:val="28"/>
          <w:szCs w:val="28"/>
          <w:highlight w:val="none"/>
          <w:lang w:eastAsia="zh-CN"/>
        </w:rPr>
        <w:t>和静县巩乃斯镇卫生院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10</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8</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1人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10</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10</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0</w:t>
      </w:r>
      <w:r>
        <w:rPr>
          <w:rFonts w:hint="eastAsia"/>
          <w:color w:val="auto"/>
          <w:szCs w:val="28"/>
          <w:highlight w:val="none"/>
        </w:rPr>
        <w:t>人。</w:t>
      </w:r>
    </w:p>
    <w:p w14:paraId="7C3454C3">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340D493D">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4AB1B0E5">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56A87860">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062EF078">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2C004288">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w:t>
      </w:r>
      <w:bookmarkStart w:id="6" w:name="_GoBack"/>
      <w:bookmarkEnd w:id="6"/>
      <w:r>
        <w:rPr>
          <w:rFonts w:hint="eastAsia"/>
          <w:color w:val="auto"/>
          <w:szCs w:val="28"/>
          <w:highlight w:val="none"/>
          <w:lang w:val="en-US" w:eastAsia="zh-CN"/>
        </w:rPr>
        <w:t>“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353C6F8C">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1F3FEED2">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34847545">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F3B52B0">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48B87D1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CCADDE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我单位年初预算数为157.32万元，实际预算执行数157.32万元，预算执行率为100%。</w:t>
      </w:r>
    </w:p>
    <w:p w14:paraId="158C594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A78DE1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全年预算数为192.67万元，全年实际支出资金192.67万元，预算执行率为100%。</w:t>
      </w:r>
    </w:p>
    <w:p w14:paraId="40DA3436">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5672D079">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157.32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35.35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192.67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23</w:t>
      </w:r>
      <w:r>
        <w:rPr>
          <w:rFonts w:hint="eastAsia" w:ascii="Times New Roman" w:hAnsi="Times New Roman" w:cs="Times New Roman"/>
          <w:bCs/>
          <w:color w:val="auto"/>
          <w:highlight w:val="none"/>
          <w:lang w:eastAsia="zh-CN"/>
        </w:rPr>
        <w:t>%。</w:t>
      </w:r>
    </w:p>
    <w:p w14:paraId="170A9E67">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307CC8F7">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192.67</w:t>
      </w:r>
      <w:r>
        <w:rPr>
          <w:rFonts w:hint="default"/>
          <w:color w:val="auto"/>
          <w:highlight w:val="none"/>
          <w:lang w:val="en-US" w:eastAsia="zh-CN"/>
        </w:rPr>
        <w:t>万元，其中：</w:t>
      </w:r>
    </w:p>
    <w:p w14:paraId="433D54E9">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177.52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159.83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17.69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14:paraId="645E22C9">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15.15</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14:paraId="4EE7AF6A">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63A18D22">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2798D630">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177.52万元，全年实际支出177.52万元，资金执行率100%。基本支出严格按照财务管理制度执行，其中：</w:t>
      </w:r>
    </w:p>
    <w:p w14:paraId="1F3EDF00">
      <w:pPr>
        <w:bidi w:val="0"/>
        <w:rPr>
          <w:rFonts w:hint="eastAsia"/>
          <w:color w:val="auto"/>
          <w:highlight w:val="none"/>
          <w:lang w:val="en-US" w:eastAsia="zh-CN"/>
        </w:rPr>
      </w:pPr>
      <w:r>
        <w:rPr>
          <w:rFonts w:hint="eastAsia"/>
          <w:color w:val="auto"/>
          <w:highlight w:val="none"/>
          <w:lang w:val="en-US" w:eastAsia="zh-CN"/>
        </w:rPr>
        <w:t>人员经费支出159.83万元，主要包括：基本工资、津贴补贴、奖金、绩效工资、机关事业单位基本养老保险缴费、职业年金缴费、职工基本医疗保险缴费、其他社会保障缴费、住房公积金、其他工资福利支出、生活补助。</w:t>
      </w:r>
    </w:p>
    <w:p w14:paraId="166934CF">
      <w:pPr>
        <w:bidi w:val="0"/>
        <w:rPr>
          <w:rFonts w:hint="eastAsia"/>
          <w:color w:val="auto"/>
          <w:highlight w:val="none"/>
          <w:lang w:val="en-US" w:eastAsia="zh-CN"/>
        </w:rPr>
      </w:pPr>
      <w:r>
        <w:rPr>
          <w:rFonts w:hint="eastAsia"/>
          <w:color w:val="auto"/>
          <w:highlight w:val="none"/>
          <w:lang w:val="en-US" w:eastAsia="zh-CN"/>
        </w:rPr>
        <w:t>公用经费支出17.69万元，主要包括：办公费、印刷费、咨询费、电费、邮电费、取暖费、维修（护）费、专用材料费、其他交通费等。</w:t>
      </w:r>
    </w:p>
    <w:p w14:paraId="7B7641B8">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30A0496F">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3F927337">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项目支出预算15.15</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其中：上级专项资金11.23万元，本级财政资金3.92万元</w:t>
      </w:r>
      <w:r>
        <w:rPr>
          <w:rFonts w:hint="eastAsia"/>
          <w:color w:val="auto"/>
          <w:highlight w:val="none"/>
          <w:lang w:eastAsia="zh-CN"/>
        </w:rPr>
        <w:t>。</w:t>
      </w:r>
    </w:p>
    <w:p w14:paraId="42584222">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39F03F12">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项目资金15.15万元，其中基本药物制度补助资金、基本公共卫生服务配套资金、重大传染病防治补助项目资金全部通过财政国库集中支付方式直接拨给项目实施单位。</w:t>
      </w:r>
    </w:p>
    <w:p w14:paraId="620FD7E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2C2AE73C">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6C36A701">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度安排项目支出资金15.15万元，</w:t>
      </w:r>
      <w:r>
        <w:rPr>
          <w:rFonts w:hint="eastAsia"/>
          <w:color w:val="auto"/>
          <w:highlight w:val="none"/>
          <w:lang w:eastAsia="zh-CN"/>
        </w:rPr>
        <w:t>实际</w:t>
      </w:r>
      <w:r>
        <w:rPr>
          <w:rFonts w:hint="eastAsia"/>
          <w:color w:val="auto"/>
          <w:highlight w:val="none"/>
          <w:lang w:val="en-US" w:eastAsia="zh-CN"/>
        </w:rPr>
        <w:t>支出15.15</w:t>
      </w:r>
      <w:r>
        <w:rPr>
          <w:rFonts w:hint="eastAsia"/>
          <w:color w:val="auto"/>
          <w:highlight w:val="none"/>
          <w:lang w:eastAsia="zh-CN"/>
        </w:rPr>
        <w:t>万元，</w:t>
      </w:r>
      <w:r>
        <w:rPr>
          <w:rFonts w:hint="eastAsia"/>
          <w:color w:val="auto"/>
          <w:highlight w:val="none"/>
          <w:lang w:val="en-US" w:eastAsia="zh-CN"/>
        </w:rPr>
        <w:t>其中：上级专项资金支出11.23万元，本级财政安排项目资金支出3.92万元，项目预算资金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58C2DD57">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2.83</w:t>
      </w:r>
      <w:r>
        <w:rPr>
          <w:rFonts w:hint="default"/>
          <w:color w:val="auto"/>
          <w:highlight w:val="none"/>
          <w:lang w:val="en-US" w:eastAsia="zh-CN"/>
        </w:rPr>
        <w:t>万元，公共卫生支出</w:t>
      </w:r>
      <w:r>
        <w:rPr>
          <w:rFonts w:hint="eastAsia"/>
          <w:color w:val="auto"/>
          <w:highlight w:val="none"/>
          <w:lang w:val="en-US" w:eastAsia="zh-CN"/>
        </w:rPr>
        <w:t>12.32</w:t>
      </w:r>
      <w:r>
        <w:rPr>
          <w:rFonts w:hint="default"/>
          <w:color w:val="auto"/>
          <w:highlight w:val="none"/>
          <w:lang w:val="en-US" w:eastAsia="zh-CN"/>
        </w:rPr>
        <w:t>万元</w:t>
      </w:r>
      <w:r>
        <w:rPr>
          <w:rFonts w:hint="eastAsia"/>
          <w:color w:val="auto"/>
          <w:highlight w:val="none"/>
          <w:lang w:val="en-US" w:eastAsia="zh-CN"/>
        </w:rPr>
        <w:t>。</w:t>
      </w:r>
    </w:p>
    <w:bookmarkEnd w:id="2"/>
    <w:p w14:paraId="78F1F814">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476BD1C9">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3698CEB">
      <w:pPr>
        <w:pStyle w:val="4"/>
        <w:numPr>
          <w:ilvl w:val="0"/>
          <w:numId w:val="0"/>
        </w:numPr>
        <w:bidi w:val="0"/>
        <w:ind w:firstLine="643" w:firstLineChars="200"/>
        <w:rPr>
          <w:color w:val="auto"/>
          <w:highlight w:val="none"/>
        </w:rPr>
      </w:pPr>
      <w:r>
        <w:rPr>
          <w:rFonts w:hint="eastAsia"/>
          <w:color w:val="auto"/>
          <w:highlight w:val="none"/>
          <w:lang w:val="en-US" w:eastAsia="zh-CN"/>
        </w:rPr>
        <w:t>（一）“三公经费”控制率</w:t>
      </w:r>
      <w:r>
        <w:rPr>
          <w:rFonts w:hint="eastAsia"/>
          <w:color w:val="auto"/>
          <w:highlight w:val="none"/>
        </w:rPr>
        <w:t>指标完成情况分析</w:t>
      </w:r>
    </w:p>
    <w:p w14:paraId="34796568">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“三公经费”控制率指标年初设定目标是=100%，年中绩效运行监控时完成值100%，年终实际完成值是100%，指标完成率是100%，达到了“三公经费”合理控制的预期目标。偏差原因：无偏差。</w:t>
      </w:r>
    </w:p>
    <w:p w14:paraId="5BD872BF">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7D5AE0B5">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在职人员经费保障人数指标年初设定目标是&gt;=10人，年中绩效运行监控时完成值</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10人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%，达到了职工人员工资按时发放、社保按时缴纳的预期目标。偏差原因：无偏差。</w:t>
      </w:r>
    </w:p>
    <w:p w14:paraId="2463DBBB">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14:paraId="69CB63EE">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2000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2000</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5210</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205</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03CCE705">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（四）基层医务人员培训人数指标完成情况分析</w:t>
      </w:r>
    </w:p>
    <w:p w14:paraId="65D90DAE">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2E3CA694">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（五）提供医疗与护理保健服务率指标完成情况分析</w:t>
      </w:r>
    </w:p>
    <w:p w14:paraId="0F69E3BE">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6D4AEF30">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（六）人员经费足额发放率指标完成情况分析</w:t>
      </w:r>
    </w:p>
    <w:p w14:paraId="3DE012C5">
      <w:pPr>
        <w:rPr>
          <w:rFonts w:hint="eastAsia"/>
          <w:color w:val="auto"/>
          <w:highlight w:val="none"/>
          <w:lang w:val="en-US" w:eastAsia="zh-CN"/>
        </w:rPr>
      </w:pPr>
    </w:p>
    <w:p w14:paraId="2E785391">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37B190D1">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（七）药品差价政策执行率指标完成情况分析</w:t>
      </w:r>
    </w:p>
    <w:p w14:paraId="5E517DE9">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14:paraId="32910F28">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（八）辖区基本公共卫生服务覆盖率指标完成情况分析</w:t>
      </w:r>
    </w:p>
    <w:p w14:paraId="3F9885D4">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74FF67AD">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（九）医保政策知晓率指标完成情况分析</w:t>
      </w:r>
    </w:p>
    <w:p w14:paraId="5D192114">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医保政策知晓率指标年初设定目标是&gt;=85%，年中绩效运行监控时完成值100%，年终实际完成值是100%，指标完成率是100%，提高了居民对医保政策的理解和信任的预期目标。偏差原因：无偏差。</w:t>
      </w:r>
    </w:p>
    <w:p w14:paraId="5455641B">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w:t>
      </w:r>
      <w:r>
        <w:rPr>
          <w:rFonts w:hint="eastAsia"/>
          <w:color w:val="auto"/>
          <w:highlight w:val="none"/>
          <w:lang w:val="en-US" w:eastAsia="zh-CN"/>
        </w:rPr>
        <w:t>提升本辖区居民健康水平指标完成情况分析</w:t>
      </w:r>
    </w:p>
    <w:p w14:paraId="5DFC36C4">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提升本辖区居民健康水平指标年初设定目标是&gt;=85%，年中绩效运行监控时完成值未达监控节点，年终实际完成值是85%，指标完成率是100%，提高了本辖区居民健康水平的预期目标。偏差原因：无偏差。</w:t>
      </w:r>
    </w:p>
    <w:p w14:paraId="4F880C5C">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（十一）居民满意度指标完成情况分析</w:t>
      </w:r>
    </w:p>
    <w:p w14:paraId="7C616618">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居民满意度指标年初设定目标是&gt;=85%，年中绩效运行监控时完成值未达监控节点，年终实际完成值是85%，指标完成率是100%，提升了患者满意度和就诊体验的预期目标。偏差原因：无偏差。</w:t>
      </w:r>
    </w:p>
    <w:p w14:paraId="261C3312">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（十二）职工满意度指标完成情况分析</w:t>
      </w:r>
    </w:p>
    <w:p w14:paraId="1E30B756">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100%，指标完成率是100%，增强了员工的积极性，提高了工作效率，减少人员流失的预期目标。偏差原因：无偏差。</w:t>
      </w:r>
    </w:p>
    <w:p w14:paraId="5ACA74ED">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657D6E3D">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0EDEAD7">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eastAsia"/>
          <w:color w:val="auto"/>
          <w:highlight w:val="none"/>
          <w:lang w:val="en-US" w:eastAsia="zh-CN"/>
        </w:rPr>
        <w:t>和静县巩乃斯镇卫生院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759450AD">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3B5A1084">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03A1EEA9">
      <w:pPr>
        <w:numPr>
          <w:ilvl w:val="0"/>
          <w:numId w:val="1"/>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0558AF06">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7FBF481E">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A458F70">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189AC1EB">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219FB008">
      <w:pPr>
        <w:pStyle w:val="3"/>
        <w:bidi w:val="0"/>
        <w:rPr>
          <w:rFonts w:hint="default"/>
          <w:color w:val="auto"/>
          <w:highlight w:val="none"/>
          <w:lang w:val="en-US" w:eastAsia="zh-CN"/>
        </w:rPr>
      </w:pPr>
      <w:r>
        <w:rPr>
          <w:rFonts w:hint="eastAsia"/>
          <w:color w:val="auto"/>
          <w:highlight w:val="none"/>
          <w:lang w:val="en-US" w:eastAsia="zh-CN"/>
        </w:rPr>
        <w:t>七、附件上传</w:t>
      </w:r>
    </w:p>
    <w:p w14:paraId="0783B0FE">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BBB6A">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702D5A2">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F0482"/>
    <w:rsid w:val="05062887"/>
    <w:rsid w:val="05464D81"/>
    <w:rsid w:val="0575419C"/>
    <w:rsid w:val="05F70F85"/>
    <w:rsid w:val="0607573C"/>
    <w:rsid w:val="06547701"/>
    <w:rsid w:val="072B19D6"/>
    <w:rsid w:val="07F75BB0"/>
    <w:rsid w:val="084208C4"/>
    <w:rsid w:val="098A3C0A"/>
    <w:rsid w:val="09A24E4E"/>
    <w:rsid w:val="0A9A7091"/>
    <w:rsid w:val="0ABB584A"/>
    <w:rsid w:val="0C48260B"/>
    <w:rsid w:val="0C6738B8"/>
    <w:rsid w:val="0CE47028"/>
    <w:rsid w:val="0E7D784C"/>
    <w:rsid w:val="0F246359"/>
    <w:rsid w:val="0FBC1346"/>
    <w:rsid w:val="10300946"/>
    <w:rsid w:val="10A122E9"/>
    <w:rsid w:val="10FE60D7"/>
    <w:rsid w:val="11385B77"/>
    <w:rsid w:val="13477178"/>
    <w:rsid w:val="134F7771"/>
    <w:rsid w:val="13E513B9"/>
    <w:rsid w:val="14FB46BE"/>
    <w:rsid w:val="158C5316"/>
    <w:rsid w:val="15B904C0"/>
    <w:rsid w:val="165C118C"/>
    <w:rsid w:val="17125CEF"/>
    <w:rsid w:val="172D035F"/>
    <w:rsid w:val="175D58E3"/>
    <w:rsid w:val="17E51656"/>
    <w:rsid w:val="18061B60"/>
    <w:rsid w:val="18906761"/>
    <w:rsid w:val="190C3DF8"/>
    <w:rsid w:val="19AA4D08"/>
    <w:rsid w:val="19B9393C"/>
    <w:rsid w:val="19F83E30"/>
    <w:rsid w:val="1A5F50A2"/>
    <w:rsid w:val="1B403139"/>
    <w:rsid w:val="1C6D319F"/>
    <w:rsid w:val="1D13631D"/>
    <w:rsid w:val="1D384A93"/>
    <w:rsid w:val="1D4D74D6"/>
    <w:rsid w:val="1DE32CFD"/>
    <w:rsid w:val="1F1A602A"/>
    <w:rsid w:val="1F2854B6"/>
    <w:rsid w:val="209329A5"/>
    <w:rsid w:val="217D20CE"/>
    <w:rsid w:val="21C67E02"/>
    <w:rsid w:val="21C768CD"/>
    <w:rsid w:val="22546140"/>
    <w:rsid w:val="22E14253"/>
    <w:rsid w:val="23931BB2"/>
    <w:rsid w:val="23F209A3"/>
    <w:rsid w:val="2403516E"/>
    <w:rsid w:val="24E71FCC"/>
    <w:rsid w:val="256A2A9E"/>
    <w:rsid w:val="25B65683"/>
    <w:rsid w:val="26BF16F1"/>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6FE0561"/>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CCA58BE"/>
    <w:rsid w:val="3F301058"/>
    <w:rsid w:val="417A34F9"/>
    <w:rsid w:val="418810F4"/>
    <w:rsid w:val="41A37673"/>
    <w:rsid w:val="42503F5E"/>
    <w:rsid w:val="42C30950"/>
    <w:rsid w:val="43F63628"/>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A177B2"/>
    <w:rsid w:val="4DA370C6"/>
    <w:rsid w:val="4DF36D4F"/>
    <w:rsid w:val="4E50267E"/>
    <w:rsid w:val="4F2E6E63"/>
    <w:rsid w:val="4F5B577E"/>
    <w:rsid w:val="501B7C76"/>
    <w:rsid w:val="504D5CCF"/>
    <w:rsid w:val="50744D49"/>
    <w:rsid w:val="511A2CA6"/>
    <w:rsid w:val="522C44F7"/>
    <w:rsid w:val="533A7469"/>
    <w:rsid w:val="53526129"/>
    <w:rsid w:val="538B4CD8"/>
    <w:rsid w:val="53A21BCD"/>
    <w:rsid w:val="53EC3054"/>
    <w:rsid w:val="541D74A6"/>
    <w:rsid w:val="54394F3D"/>
    <w:rsid w:val="54A84FC1"/>
    <w:rsid w:val="54E12281"/>
    <w:rsid w:val="55570796"/>
    <w:rsid w:val="565F61A9"/>
    <w:rsid w:val="56AD4B11"/>
    <w:rsid w:val="57232FC4"/>
    <w:rsid w:val="572D2326"/>
    <w:rsid w:val="57365691"/>
    <w:rsid w:val="59EE1E48"/>
    <w:rsid w:val="5A490F5C"/>
    <w:rsid w:val="5A9E4667"/>
    <w:rsid w:val="5B805E16"/>
    <w:rsid w:val="5BD21464"/>
    <w:rsid w:val="5BDE2B83"/>
    <w:rsid w:val="5C777282"/>
    <w:rsid w:val="61635F72"/>
    <w:rsid w:val="618606C5"/>
    <w:rsid w:val="6224402D"/>
    <w:rsid w:val="62516C98"/>
    <w:rsid w:val="636649C5"/>
    <w:rsid w:val="6384067A"/>
    <w:rsid w:val="638D125E"/>
    <w:rsid w:val="6396333E"/>
    <w:rsid w:val="63E114D3"/>
    <w:rsid w:val="64033FC2"/>
    <w:rsid w:val="65B174D2"/>
    <w:rsid w:val="66951451"/>
    <w:rsid w:val="680E0276"/>
    <w:rsid w:val="690031C6"/>
    <w:rsid w:val="6A2B751B"/>
    <w:rsid w:val="6AD46D46"/>
    <w:rsid w:val="6B07083C"/>
    <w:rsid w:val="6B415719"/>
    <w:rsid w:val="6B623CC4"/>
    <w:rsid w:val="6B6C65E0"/>
    <w:rsid w:val="6B9B06C6"/>
    <w:rsid w:val="6C2B67AC"/>
    <w:rsid w:val="6CB31465"/>
    <w:rsid w:val="6DE07909"/>
    <w:rsid w:val="6E0C3182"/>
    <w:rsid w:val="6E58438A"/>
    <w:rsid w:val="6E7066F8"/>
    <w:rsid w:val="6E9D5508"/>
    <w:rsid w:val="6F871359"/>
    <w:rsid w:val="7012558D"/>
    <w:rsid w:val="711B7F18"/>
    <w:rsid w:val="712C0C4C"/>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A015F2D"/>
    <w:rsid w:val="7AFE508C"/>
    <w:rsid w:val="7B2561EC"/>
    <w:rsid w:val="7B587F11"/>
    <w:rsid w:val="7BC003CA"/>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5131</Words>
  <Characters>5447</Characters>
  <Lines>7</Lines>
  <Paragraphs>2</Paragraphs>
  <TotalTime>11</TotalTime>
  <ScaleCrop>false</ScaleCrop>
  <LinksUpToDate>false</LinksUpToDate>
  <CharactersWithSpaces>5452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2024-11-22T04:48:39Z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C5E18A234DE2424CB079A497EF20F5E3_13</vt:lpwstr>
  </property>
</Properties>
</file>