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94AD3">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和静县巴伦台镇中心卫生院</w:t>
      </w:r>
    </w:p>
    <w:p w14:paraId="05A17832">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14:paraId="2C05AE3E">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78F0D81D">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225F9419">
      <w:pPr>
        <w:pStyle w:val="2"/>
        <w:bidi w:val="0"/>
        <w:rPr>
          <w:rFonts w:hint="eastAsia"/>
          <w:color w:val="auto"/>
          <w:highlight w:val="none"/>
          <w:lang w:val="en-US" w:eastAsia="zh-CN"/>
        </w:rPr>
      </w:pPr>
      <w:r>
        <w:rPr>
          <w:rFonts w:hint="eastAsia"/>
          <w:color w:val="auto"/>
          <w:highlight w:val="none"/>
          <w:lang w:val="en-US" w:eastAsia="zh-CN"/>
        </w:rPr>
        <w:t>1.部门主要职能</w:t>
      </w:r>
    </w:p>
    <w:p w14:paraId="732C4911">
      <w:pPr>
        <w:rPr>
          <w:rFonts w:hint="eastAsia"/>
          <w:color w:val="auto"/>
          <w:szCs w:val="28"/>
          <w:highlight w:val="none"/>
        </w:rPr>
      </w:pPr>
      <w:r>
        <w:rPr>
          <w:rFonts w:hint="eastAsia"/>
          <w:color w:val="auto"/>
          <w:szCs w:val="28"/>
          <w:highlight w:val="none"/>
          <w:lang w:val="en-US" w:eastAsia="zh-CN"/>
        </w:rPr>
        <w:t>和静县巴伦台镇中心卫生院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7C6D354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4E5CFBC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bookmarkStart w:id="6" w:name="_GoBack"/>
      <w:bookmarkEnd w:id="6"/>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5A10E6F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2DD8703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41B1052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5257831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78EAB0C9">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43A0A1C9">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巴伦台镇中心卫生院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w:t>
      </w:r>
      <w:r>
        <w:rPr>
          <w:rFonts w:hint="eastAsia" w:hAnsi="黑体" w:eastAsia="仿宋_GB2312" w:cs="仿宋_GB2312"/>
          <w:color w:val="auto"/>
          <w:sz w:val="28"/>
          <w:szCs w:val="28"/>
          <w:highlight w:val="none"/>
          <w:lang w:val="en-US" w:eastAsia="zh-CN"/>
        </w:rPr>
        <w:t>1</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2</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医生办、护士办、中医科</w:t>
      </w:r>
      <w:r>
        <w:rPr>
          <w:rFonts w:hint="eastAsia" w:ascii="仿宋_GB2312" w:hAnsi="仿宋" w:eastAsia="仿宋_GB2312"/>
          <w:color w:val="auto"/>
          <w:sz w:val="28"/>
          <w:szCs w:val="28"/>
          <w:highlight w:val="none"/>
        </w:rPr>
        <w:t>等。</w:t>
      </w:r>
    </w:p>
    <w:p w14:paraId="08833E9B">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巴伦台镇中心卫生院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32</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31</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1人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31</w:t>
      </w:r>
      <w:r>
        <w:rPr>
          <w:rFonts w:hint="eastAsia"/>
          <w:color w:val="auto"/>
          <w:szCs w:val="28"/>
          <w:highlight w:val="none"/>
        </w:rPr>
        <w:t>人，退休人员</w:t>
      </w:r>
      <w:r>
        <w:rPr>
          <w:rFonts w:hint="eastAsia"/>
          <w:color w:val="auto"/>
          <w:szCs w:val="28"/>
          <w:highlight w:val="none"/>
          <w:lang w:val="en-US" w:eastAsia="zh-CN"/>
        </w:rPr>
        <w:t>30</w:t>
      </w:r>
      <w:r>
        <w:rPr>
          <w:rFonts w:hint="eastAsia"/>
          <w:color w:val="auto"/>
          <w:szCs w:val="28"/>
          <w:highlight w:val="none"/>
        </w:rPr>
        <w:t>人。年末实有在职人数</w:t>
      </w:r>
      <w:r>
        <w:rPr>
          <w:rFonts w:hint="eastAsia"/>
          <w:color w:val="auto"/>
          <w:szCs w:val="28"/>
          <w:highlight w:val="none"/>
          <w:lang w:val="en-US" w:eastAsia="zh-CN"/>
        </w:rPr>
        <w:t>31</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30</w:t>
      </w:r>
      <w:r>
        <w:rPr>
          <w:rFonts w:hint="eastAsia"/>
          <w:color w:val="auto"/>
          <w:szCs w:val="28"/>
          <w:highlight w:val="none"/>
        </w:rPr>
        <w:t>人。</w:t>
      </w:r>
    </w:p>
    <w:p w14:paraId="46AE7F16">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29190F3A">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w:t>
      </w:r>
      <w:r>
        <w:rPr>
          <w:rFonts w:hint="eastAsia"/>
          <w:color w:val="auto"/>
          <w:szCs w:val="28"/>
          <w:highlight w:val="none"/>
          <w:lang w:val="en-US" w:eastAsia="zh-CN"/>
        </w:rPr>
        <w:t>着力解决突出问题，深入推进干部能力建设。具体如下：</w:t>
      </w:r>
    </w:p>
    <w:p w14:paraId="2E415267">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14:paraId="051D576D">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形成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14:paraId="19F3B329">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14:paraId="3E3417EC">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14:paraId="5568D481">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14:paraId="4160F6EF">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14:paraId="07C164B5">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6BC11478">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234438B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424FB5B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w:t>
      </w:r>
      <w:r>
        <w:rPr>
          <w:rFonts w:hint="default" w:ascii="Times New Roman" w:hAnsi="Times New Roman" w:cs="Times New Roman"/>
          <w:bCs/>
          <w:color w:val="auto"/>
          <w:highlight w:val="none"/>
          <w:lang w:val="en-US" w:eastAsia="zh-CN"/>
        </w:rPr>
        <w:t>585.7</w:t>
      </w:r>
      <w:r>
        <w:rPr>
          <w:rFonts w:hint="eastAsia" w:ascii="Times New Roman" w:hAnsi="Times New Roman" w:cs="Times New Roman"/>
          <w:bCs/>
          <w:color w:val="auto"/>
          <w:highlight w:val="none"/>
          <w:lang w:val="en-US" w:eastAsia="zh-CN"/>
        </w:rPr>
        <w:t>6万元，实际预算执行数585.76万元，预算执行率为100%。</w:t>
      </w:r>
    </w:p>
    <w:p w14:paraId="5099315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35B31E4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w:t>
      </w:r>
      <w:r>
        <w:rPr>
          <w:rFonts w:hint="default" w:ascii="Times New Roman" w:hAnsi="Times New Roman" w:cs="Times New Roman"/>
          <w:bCs/>
          <w:color w:val="auto"/>
          <w:highlight w:val="none"/>
          <w:lang w:val="en-US" w:eastAsia="zh-CN"/>
        </w:rPr>
        <w:t>756.45</w:t>
      </w:r>
      <w:r>
        <w:rPr>
          <w:rFonts w:hint="eastAsia" w:ascii="Times New Roman" w:hAnsi="Times New Roman" w:cs="Times New Roman"/>
          <w:bCs/>
          <w:color w:val="auto"/>
          <w:highlight w:val="none"/>
          <w:lang w:val="en-US" w:eastAsia="zh-CN"/>
        </w:rPr>
        <w:t>万元，全年实际支出资金</w:t>
      </w:r>
      <w:r>
        <w:rPr>
          <w:rFonts w:hint="default" w:ascii="Times New Roman" w:hAnsi="Times New Roman" w:cs="Times New Roman"/>
          <w:bCs/>
          <w:color w:val="auto"/>
          <w:highlight w:val="none"/>
          <w:lang w:val="en-US" w:eastAsia="zh-CN"/>
        </w:rPr>
        <w:t>756.45</w:t>
      </w:r>
      <w:r>
        <w:rPr>
          <w:rFonts w:hint="eastAsia" w:ascii="Times New Roman" w:hAnsi="Times New Roman" w:cs="Times New Roman"/>
          <w:bCs/>
          <w:color w:val="auto"/>
          <w:highlight w:val="none"/>
          <w:lang w:val="en-US" w:eastAsia="zh-CN"/>
        </w:rPr>
        <w:t>万元，预算执行率为100%。</w:t>
      </w:r>
    </w:p>
    <w:p w14:paraId="0ADFE197">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409FC189">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585.76</w:t>
      </w:r>
      <w:r>
        <w:rPr>
          <w:rFonts w:hint="eastAsia" w:ascii="Times New Roman" w:hAnsi="Times New Roman" w:cs="Times New Roman"/>
          <w:bCs/>
          <w:color w:val="auto"/>
          <w:highlight w:val="none"/>
          <w:lang w:eastAsia="zh-CN"/>
        </w:rPr>
        <w:t>万元，年中调整数</w:t>
      </w:r>
      <w:r>
        <w:rPr>
          <w:rFonts w:hint="default" w:ascii="Times New Roman" w:hAnsi="Times New Roman" w:cs="Times New Roman"/>
          <w:bCs/>
          <w:color w:val="auto"/>
          <w:highlight w:val="none"/>
          <w:lang w:val="en-US" w:eastAsia="zh-CN"/>
        </w:rPr>
        <w:t>170.7</w:t>
      </w:r>
      <w:r>
        <w:rPr>
          <w:rFonts w:hint="eastAsia" w:ascii="Times New Roman" w:hAnsi="Times New Roman" w:cs="Times New Roman"/>
          <w:bCs/>
          <w:color w:val="auto"/>
          <w:highlight w:val="none"/>
          <w:lang w:eastAsia="zh-CN"/>
        </w:rPr>
        <w:t>万元，调整后全年预算数</w:t>
      </w:r>
      <w:r>
        <w:rPr>
          <w:rFonts w:hint="default" w:ascii="Times New Roman" w:hAnsi="Times New Roman" w:cs="Times New Roman"/>
          <w:bCs/>
          <w:color w:val="auto"/>
          <w:highlight w:val="none"/>
          <w:lang w:val="en-US" w:eastAsia="zh-CN"/>
        </w:rPr>
        <w:t>756.45</w:t>
      </w:r>
      <w:r>
        <w:rPr>
          <w:rFonts w:hint="eastAsia" w:ascii="Times New Roman" w:hAnsi="Times New Roman" w:cs="Times New Roman"/>
          <w:bCs/>
          <w:color w:val="auto"/>
          <w:highlight w:val="none"/>
          <w:lang w:eastAsia="zh-CN"/>
        </w:rPr>
        <w:t>万元，预算调整率</w:t>
      </w:r>
      <w:r>
        <w:rPr>
          <w:rFonts w:hint="default" w:ascii="Times New Roman" w:hAnsi="Times New Roman" w:cs="Times New Roman"/>
          <w:bCs/>
          <w:color w:val="auto"/>
          <w:highlight w:val="none"/>
          <w:lang w:val="en-US" w:eastAsia="zh-CN"/>
        </w:rPr>
        <w:t>29.14</w:t>
      </w:r>
      <w:r>
        <w:rPr>
          <w:rFonts w:hint="eastAsia" w:ascii="Times New Roman" w:hAnsi="Times New Roman" w:cs="Times New Roman"/>
          <w:bCs/>
          <w:color w:val="auto"/>
          <w:highlight w:val="none"/>
          <w:lang w:eastAsia="zh-CN"/>
        </w:rPr>
        <w:t>%。</w:t>
      </w:r>
    </w:p>
    <w:p w14:paraId="0BDD0C93">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1C613063">
      <w:pPr>
        <w:bidi w:val="0"/>
        <w:rPr>
          <w:rFonts w:hint="default"/>
          <w:color w:val="auto"/>
          <w:highlight w:val="none"/>
          <w:lang w:val="en-US" w:eastAsia="zh-CN"/>
        </w:rPr>
      </w:pPr>
      <w:r>
        <w:rPr>
          <w:rFonts w:hint="default"/>
          <w:color w:val="auto"/>
          <w:highlight w:val="none"/>
          <w:lang w:val="en-US" w:eastAsia="zh-CN"/>
        </w:rPr>
        <w:t>我单位2023年度部门整体支出为756.45万元，其中：</w:t>
      </w:r>
    </w:p>
    <w:p w14:paraId="4403A2E2">
      <w:pPr>
        <w:bidi w:val="0"/>
        <w:rPr>
          <w:rFonts w:hint="default"/>
          <w:color w:val="auto"/>
          <w:highlight w:val="none"/>
          <w:lang w:val="en-US" w:eastAsia="zh-CN"/>
        </w:rPr>
      </w:pPr>
      <w:r>
        <w:rPr>
          <w:rFonts w:hint="default"/>
          <w:color w:val="auto"/>
          <w:highlight w:val="none"/>
          <w:lang w:val="en-US" w:eastAsia="zh-CN"/>
        </w:rPr>
        <w:t>基本支出715.86万元，资金的使用方向为我单位机关人员经费支出581.09万元</w:t>
      </w:r>
      <w:r>
        <w:rPr>
          <w:rFonts w:hint="eastAsia"/>
          <w:color w:val="auto"/>
          <w:highlight w:val="none"/>
          <w:lang w:val="en-US" w:eastAsia="zh-CN"/>
        </w:rPr>
        <w:t>，</w:t>
      </w:r>
      <w:r>
        <w:rPr>
          <w:rFonts w:hint="default"/>
          <w:color w:val="auto"/>
          <w:highlight w:val="none"/>
          <w:lang w:val="en-US" w:eastAsia="zh-CN"/>
        </w:rPr>
        <w:t>日常公用经费支出134.77万元</w:t>
      </w:r>
      <w:r>
        <w:rPr>
          <w:rFonts w:hint="eastAsia"/>
          <w:color w:val="auto"/>
          <w:highlight w:val="none"/>
          <w:lang w:val="en-US" w:eastAsia="zh-CN"/>
        </w:rPr>
        <w:t>，主要用于保障人员工资及人员医保、社保、住房公积金等缴费，单位办公用品及车辆燃油费及维修等方面支出。</w:t>
      </w:r>
    </w:p>
    <w:p w14:paraId="5760923C">
      <w:pPr>
        <w:bidi w:val="0"/>
        <w:rPr>
          <w:rFonts w:hint="default"/>
          <w:color w:val="auto"/>
          <w:highlight w:val="none"/>
          <w:lang w:val="en-US" w:eastAsia="zh-CN"/>
        </w:rPr>
      </w:pPr>
      <w:r>
        <w:rPr>
          <w:rFonts w:hint="default"/>
          <w:color w:val="auto"/>
          <w:highlight w:val="none"/>
          <w:lang w:val="en-US" w:eastAsia="zh-CN"/>
        </w:rPr>
        <w:t>项目支出共计40.59万元，主要用于基本药物制度补助项目、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14:paraId="3079A4BF">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5BAF8A39">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35B20AA4">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default"/>
          <w:color w:val="auto"/>
          <w:highlight w:val="none"/>
          <w:lang w:val="en-US" w:eastAsia="zh-CN"/>
        </w:rPr>
        <w:t>756.45</w:t>
      </w:r>
      <w:r>
        <w:rPr>
          <w:rFonts w:hint="eastAsia"/>
          <w:color w:val="auto"/>
          <w:highlight w:val="none"/>
          <w:lang w:val="en-US" w:eastAsia="zh-CN"/>
        </w:rPr>
        <w:t>万元，全年实际支出</w:t>
      </w:r>
      <w:r>
        <w:rPr>
          <w:rFonts w:hint="default"/>
          <w:color w:val="auto"/>
          <w:highlight w:val="none"/>
          <w:lang w:val="en-US" w:eastAsia="zh-CN"/>
        </w:rPr>
        <w:t>756.45</w:t>
      </w:r>
      <w:r>
        <w:rPr>
          <w:rFonts w:hint="eastAsia"/>
          <w:color w:val="auto"/>
          <w:highlight w:val="none"/>
          <w:lang w:val="en-US" w:eastAsia="zh-CN"/>
        </w:rPr>
        <w:t>万元，资金执行率100%。基本支出严格按照财务管理制度执行，其中：</w:t>
      </w:r>
    </w:p>
    <w:p w14:paraId="4B987394">
      <w:pPr>
        <w:bidi w:val="0"/>
        <w:rPr>
          <w:rFonts w:hint="eastAsia"/>
          <w:color w:val="auto"/>
          <w:highlight w:val="none"/>
          <w:lang w:val="en-US" w:eastAsia="zh-CN"/>
        </w:rPr>
      </w:pPr>
      <w:r>
        <w:rPr>
          <w:rFonts w:hint="eastAsia"/>
          <w:color w:val="auto"/>
          <w:highlight w:val="none"/>
          <w:lang w:val="en-US" w:eastAsia="zh-CN"/>
        </w:rPr>
        <w:t>人员经费支出</w:t>
      </w:r>
      <w:r>
        <w:rPr>
          <w:rFonts w:hint="default"/>
          <w:color w:val="auto"/>
          <w:highlight w:val="none"/>
          <w:lang w:val="en-US" w:eastAsia="zh-CN"/>
        </w:rPr>
        <w:t>581.09</w:t>
      </w:r>
      <w:r>
        <w:rPr>
          <w:rFonts w:hint="eastAsia"/>
          <w:color w:val="auto"/>
          <w:highlight w:val="none"/>
          <w:lang w:val="en-US" w:eastAsia="zh-CN"/>
        </w:rPr>
        <w:t>万元，主要包括：基本工资、津贴补贴、奖金、绩效工资、机关事业单位基本养老保险缴费、职业年金缴费、职工基本医疗保险缴费、其他社会保障缴费、住房公积金、其他工资福利支出、生活补助。</w:t>
      </w:r>
    </w:p>
    <w:p w14:paraId="36465B42">
      <w:pPr>
        <w:bidi w:val="0"/>
        <w:rPr>
          <w:rFonts w:hint="eastAsia"/>
          <w:color w:val="auto"/>
          <w:highlight w:val="none"/>
          <w:lang w:val="en-US" w:eastAsia="zh-CN"/>
        </w:rPr>
      </w:pPr>
      <w:r>
        <w:rPr>
          <w:rFonts w:hint="eastAsia"/>
          <w:color w:val="auto"/>
          <w:highlight w:val="none"/>
          <w:lang w:val="en-US" w:eastAsia="zh-CN"/>
        </w:rPr>
        <w:t>公用经费支出</w:t>
      </w:r>
      <w:r>
        <w:rPr>
          <w:rFonts w:hint="default"/>
          <w:color w:val="auto"/>
          <w:highlight w:val="none"/>
          <w:lang w:val="en-US" w:eastAsia="zh-CN"/>
        </w:rPr>
        <w:t>134.77</w:t>
      </w:r>
      <w:r>
        <w:rPr>
          <w:rFonts w:hint="eastAsia"/>
          <w:color w:val="auto"/>
          <w:highlight w:val="none"/>
          <w:lang w:val="en-US" w:eastAsia="zh-CN"/>
        </w:rPr>
        <w:t>万元，主要包括：办公费、印刷费、咨询费、电费、邮电费、取暖费、维修（护）费、专用材料费、其他交通费等。</w:t>
      </w:r>
    </w:p>
    <w:p w14:paraId="69F5CFC4">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158FC86A">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4CAF13B6">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default"/>
          <w:color w:val="auto"/>
          <w:highlight w:val="none"/>
          <w:lang w:val="en-US" w:eastAsia="zh-CN"/>
        </w:rPr>
        <w:t>40.59</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其中：上级专项资金29.14万元，本级财政资金16.51万元</w:t>
      </w:r>
      <w:r>
        <w:rPr>
          <w:rFonts w:hint="eastAsia"/>
          <w:color w:val="auto"/>
          <w:highlight w:val="none"/>
          <w:lang w:eastAsia="zh-CN"/>
        </w:rPr>
        <w:t>。</w:t>
      </w:r>
    </w:p>
    <w:p w14:paraId="6BFEE52C">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191DDF00">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w:t>
      </w:r>
      <w:r>
        <w:rPr>
          <w:rFonts w:hint="default"/>
          <w:color w:val="auto"/>
          <w:highlight w:val="none"/>
          <w:lang w:val="en-US" w:eastAsia="zh-CN"/>
        </w:rPr>
        <w:t>40.59</w:t>
      </w:r>
      <w:r>
        <w:rPr>
          <w:rFonts w:hint="eastAsia"/>
          <w:color w:val="auto"/>
          <w:highlight w:val="none"/>
          <w:lang w:val="en-US" w:eastAsia="zh-CN"/>
        </w:rPr>
        <w:t>万元，其中基本药物制度补助资金</w:t>
      </w:r>
      <w:r>
        <w:rPr>
          <w:rFonts w:hint="default"/>
          <w:color w:val="auto"/>
          <w:highlight w:val="none"/>
          <w:lang w:val="en-US" w:eastAsia="zh-CN"/>
        </w:rPr>
        <w:t>2.99</w:t>
      </w:r>
      <w:r>
        <w:rPr>
          <w:rFonts w:hint="eastAsia"/>
          <w:color w:val="auto"/>
          <w:highlight w:val="none"/>
          <w:lang w:val="en-US" w:eastAsia="zh-CN"/>
        </w:rPr>
        <w:t>万元、基本公共卫生服务配套资金</w:t>
      </w:r>
      <w:r>
        <w:rPr>
          <w:rFonts w:hint="default"/>
          <w:color w:val="auto"/>
          <w:highlight w:val="none"/>
          <w:lang w:val="en-US" w:eastAsia="zh-CN"/>
        </w:rPr>
        <w:t>30.58</w:t>
      </w:r>
      <w:r>
        <w:rPr>
          <w:rFonts w:hint="eastAsia"/>
          <w:color w:val="auto"/>
          <w:highlight w:val="none"/>
          <w:lang w:val="en-US" w:eastAsia="zh-CN"/>
        </w:rPr>
        <w:t>万元、重大传染病防治补助资金</w:t>
      </w:r>
      <w:r>
        <w:rPr>
          <w:rFonts w:hint="default"/>
          <w:color w:val="auto"/>
          <w:highlight w:val="none"/>
          <w:lang w:val="en-US" w:eastAsia="zh-CN"/>
        </w:rPr>
        <w:t>0.90</w:t>
      </w:r>
      <w:r>
        <w:rPr>
          <w:rFonts w:hint="eastAsia"/>
          <w:color w:val="auto"/>
          <w:highlight w:val="none"/>
          <w:lang w:val="en-US" w:eastAsia="zh-CN"/>
        </w:rPr>
        <w:t>万元。项目资金全部通过财政国库集中支付方式直接拨给项目实施单位。</w:t>
      </w:r>
    </w:p>
    <w:p w14:paraId="4968C96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23D82D24">
      <w:pPr>
        <w:ind w:firstLine="560" w:firstLineChars="200"/>
        <w:rPr>
          <w:rFonts w:hint="eastAsia"/>
          <w:color w:val="auto"/>
          <w:highlight w:val="none"/>
          <w:lang w:val="en-US" w:eastAsia="zh-CN"/>
        </w:rPr>
      </w:pPr>
    </w:p>
    <w:p w14:paraId="29577B98">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04D833ED">
      <w:pPr>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w:t>
      </w:r>
      <w:r>
        <w:rPr>
          <w:rFonts w:hint="default"/>
          <w:color w:val="auto"/>
          <w:highlight w:val="none"/>
          <w:lang w:val="en-US" w:eastAsia="zh-CN"/>
        </w:rPr>
        <w:t>40.59</w:t>
      </w:r>
      <w:r>
        <w:rPr>
          <w:rFonts w:hint="eastAsia"/>
          <w:color w:val="auto"/>
          <w:highlight w:val="none"/>
          <w:lang w:val="en-US" w:eastAsia="zh-CN"/>
        </w:rPr>
        <w:t>万元，</w:t>
      </w:r>
      <w:r>
        <w:rPr>
          <w:rFonts w:hint="eastAsia"/>
          <w:color w:val="auto"/>
          <w:highlight w:val="none"/>
          <w:lang w:eastAsia="zh-CN"/>
        </w:rPr>
        <w:t>实际</w:t>
      </w:r>
      <w:r>
        <w:rPr>
          <w:rFonts w:hint="eastAsia"/>
          <w:color w:val="auto"/>
          <w:highlight w:val="none"/>
          <w:lang w:val="en-US" w:eastAsia="zh-CN"/>
        </w:rPr>
        <w:t>支出</w:t>
      </w:r>
      <w:r>
        <w:rPr>
          <w:rFonts w:hint="default"/>
          <w:color w:val="auto"/>
          <w:highlight w:val="none"/>
          <w:lang w:val="en-US" w:eastAsia="zh-CN"/>
        </w:rPr>
        <w:t>40.59</w:t>
      </w:r>
      <w:r>
        <w:rPr>
          <w:rFonts w:hint="eastAsia"/>
          <w:color w:val="auto"/>
          <w:highlight w:val="none"/>
          <w:lang w:eastAsia="zh-CN"/>
        </w:rPr>
        <w:t>万元，</w:t>
      </w:r>
      <w:r>
        <w:rPr>
          <w:rFonts w:hint="eastAsia"/>
          <w:color w:val="auto"/>
          <w:highlight w:val="none"/>
          <w:lang w:val="en-US" w:eastAsia="zh-CN"/>
        </w:rPr>
        <w:t>其中：上级专项资金支出29.14万元，本级财政安排项目资金支出16.51万元，项目预算资金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780B7B59">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包括基层医疗卫生机构支出2.99万元，公共卫生支出36.70万元，残疾人事业支出0.9万元</w:t>
      </w:r>
      <w:r>
        <w:rPr>
          <w:rFonts w:hint="eastAsia"/>
          <w:color w:val="auto"/>
          <w:highlight w:val="none"/>
          <w:lang w:val="en-US" w:eastAsia="zh-CN"/>
        </w:rPr>
        <w:t>。</w:t>
      </w:r>
    </w:p>
    <w:bookmarkEnd w:id="2"/>
    <w:p w14:paraId="322A10DB">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588F6C1E">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6D3D28D1">
      <w:pPr>
        <w:pStyle w:val="4"/>
        <w:numPr>
          <w:ilvl w:val="0"/>
          <w:numId w:val="1"/>
        </w:numPr>
        <w:bidi w:val="0"/>
        <w:ind w:left="-80" w:leftChars="0" w:firstLineChars="0"/>
        <w:rPr>
          <w:color w:val="auto"/>
          <w:highlight w:val="none"/>
        </w:rPr>
      </w:pPr>
      <w:r>
        <w:rPr>
          <w:rFonts w:hint="eastAsia"/>
          <w:color w:val="auto"/>
          <w:highlight w:val="none"/>
          <w:lang w:val="en-US" w:eastAsia="zh-CN"/>
        </w:rPr>
        <w:t>基本支出预算执行率指标完成情况分析</w:t>
      </w:r>
    </w:p>
    <w:p w14:paraId="3757C883">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基本支出预算执行率指标年初设定目标是&gt;=</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49.82</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提高了基本支出预算执行率</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14:paraId="4AA6826B">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14:paraId="3FBB17FD">
      <w:pPr>
        <w:pStyle w:val="4"/>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在职人员经费保障人数指标年初设定目标是&gt;=32人，年中绩效运行监控时完成值</w:t>
      </w:r>
      <w:r>
        <w:rPr>
          <w:rFonts w:hint="eastAsia" w:cs="仿宋_GB2312"/>
          <w:b w:val="0"/>
          <w:bCs w:val="0"/>
          <w:color w:val="auto"/>
          <w:kern w:val="2"/>
          <w:sz w:val="28"/>
          <w:szCs w:val="24"/>
          <w:highlight w:val="none"/>
          <w:lang w:val="en-US" w:eastAsia="zh-CN" w:bidi="ar-SA"/>
        </w:rPr>
        <w:t>32</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32人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w:t>
      </w:r>
      <w:r>
        <w:rPr>
          <w:rFonts w:hint="eastAsia" w:cs="仿宋_GB2312"/>
          <w:b w:val="0"/>
          <w:bCs w:val="0"/>
          <w:color w:val="auto"/>
          <w:kern w:val="2"/>
          <w:sz w:val="28"/>
          <w:szCs w:val="24"/>
          <w:highlight w:val="none"/>
          <w:lang w:val="en-US" w:eastAsia="zh-CN" w:bidi="ar-SA"/>
        </w:rPr>
        <w:t>按时</w:t>
      </w:r>
      <w:r>
        <w:rPr>
          <w:rFonts w:hint="eastAsia" w:ascii="仿宋_GB2312" w:hAnsi="仿宋_GB2312" w:eastAsia="仿宋" w:cs="仿宋_GB2312"/>
          <w:b w:val="0"/>
          <w:bCs w:val="0"/>
          <w:color w:val="auto"/>
          <w:kern w:val="2"/>
          <w:sz w:val="28"/>
          <w:szCs w:val="24"/>
          <w:highlight w:val="none"/>
          <w:lang w:val="en-US" w:eastAsia="zh-CN" w:bidi="ar-SA"/>
        </w:rPr>
        <w:t>发放</w:t>
      </w:r>
      <w:r>
        <w:rPr>
          <w:rFonts w:hint="eastAsia" w:cs="仿宋_GB2312"/>
          <w:b w:val="0"/>
          <w:bCs w:val="0"/>
          <w:color w:val="auto"/>
          <w:kern w:val="2"/>
          <w:sz w:val="28"/>
          <w:szCs w:val="24"/>
          <w:highlight w:val="none"/>
          <w:lang w:val="en-US" w:eastAsia="zh-CN" w:bidi="ar-SA"/>
        </w:rPr>
        <w:t>、社保按时缴纳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p>
    <w:p w14:paraId="7368FBAA">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14:paraId="7622D4FE">
      <w:pPr>
        <w:ind w:left="0" w:leftChars="0"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4300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4023</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8295</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192.91</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39D2E702">
      <w:pPr>
        <w:pStyle w:val="4"/>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w:t>
      </w:r>
      <w:r>
        <w:rPr>
          <w:rFonts w:hint="eastAsia" w:cs="仿宋_GB2312"/>
          <w:b/>
          <w:color w:val="auto"/>
          <w:kern w:val="2"/>
          <w:sz w:val="32"/>
          <w:szCs w:val="24"/>
          <w:highlight w:val="none"/>
          <w:lang w:val="en-US" w:eastAsia="zh-CN" w:bidi="ar-SA"/>
        </w:rPr>
        <w:t>四</w:t>
      </w:r>
      <w:r>
        <w:rPr>
          <w:rFonts w:hint="eastAsia" w:ascii="Arial" w:hAnsi="Arial" w:eastAsia="楷体_GB2312" w:cs="仿宋_GB2312"/>
          <w:b/>
          <w:color w:val="auto"/>
          <w:kern w:val="2"/>
          <w:sz w:val="32"/>
          <w:szCs w:val="24"/>
          <w:highlight w:val="none"/>
          <w:lang w:val="en-US" w:eastAsia="zh-CN" w:bidi="ar-SA"/>
        </w:rPr>
        <w:t>）</w:t>
      </w:r>
      <w:r>
        <w:rPr>
          <w:rFonts w:hint="eastAsia"/>
          <w:color w:val="auto"/>
          <w:highlight w:val="none"/>
          <w:lang w:val="en-US" w:eastAsia="zh-CN"/>
        </w:rPr>
        <w:t>住院就诊患者人数指标完成情况分析</w:t>
      </w:r>
    </w:p>
    <w:p w14:paraId="1C3C4BB0">
      <w:pPr>
        <w:ind w:left="0" w:leftChars="0" w:firstLine="560" w:firstLineChars="200"/>
        <w:rPr>
          <w:rFonts w:hint="default"/>
          <w:color w:val="auto"/>
          <w:highlight w:val="none"/>
          <w:lang w:val="en-US" w:eastAsia="zh-CN"/>
        </w:rPr>
      </w:pPr>
      <w:r>
        <w:rPr>
          <w:rFonts w:hint="eastAsia" w:cs="仿宋_GB2312"/>
          <w:b w:val="0"/>
          <w:bCs w:val="0"/>
          <w:color w:val="auto"/>
          <w:kern w:val="2"/>
          <w:sz w:val="28"/>
          <w:szCs w:val="24"/>
          <w:highlight w:val="none"/>
          <w:lang w:val="en-US" w:eastAsia="zh-CN" w:bidi="ar-SA"/>
        </w:rPr>
        <w:t>住院</w:t>
      </w:r>
      <w:r>
        <w:rPr>
          <w:rFonts w:hint="eastAsia" w:ascii="仿宋_GB2312" w:hAnsi="仿宋_GB2312" w:eastAsia="仿宋" w:cs="仿宋_GB2312"/>
          <w:b w:val="0"/>
          <w:bCs w:val="0"/>
          <w:color w:val="auto"/>
          <w:kern w:val="2"/>
          <w:sz w:val="28"/>
          <w:szCs w:val="24"/>
          <w:highlight w:val="none"/>
          <w:lang w:val="en-US" w:eastAsia="zh-CN" w:bidi="ar-SA"/>
        </w:rPr>
        <w:t>就诊人次指标年初设定目标是&gt;=</w:t>
      </w:r>
      <w:r>
        <w:rPr>
          <w:rFonts w:hint="eastAsia" w:cs="仿宋_GB2312"/>
          <w:b w:val="0"/>
          <w:bCs w:val="0"/>
          <w:color w:val="auto"/>
          <w:kern w:val="2"/>
          <w:sz w:val="28"/>
          <w:szCs w:val="24"/>
          <w:highlight w:val="none"/>
          <w:lang w:val="en-US" w:eastAsia="zh-CN" w:bidi="ar-SA"/>
        </w:rPr>
        <w:t>55</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250</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320</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581.82</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3C316A2B">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14:paraId="48D0E760">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4</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14:paraId="03F3275D">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14:paraId="0493BEAF">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59C0C7BF">
      <w:pPr>
        <w:pStyle w:val="4"/>
        <w:numPr>
          <w:ilvl w:val="0"/>
          <w:numId w:val="0"/>
        </w:numPr>
        <w:bidi w:val="0"/>
        <w:spacing w:before="0" w:line="240" w:lineRule="auto"/>
        <w:ind w:left="560" w:leftChars="0"/>
        <w:rPr>
          <w:rFonts w:hint="eastAsia"/>
          <w:color w:val="auto"/>
          <w:highlight w:val="none"/>
          <w:lang w:val="en-US" w:eastAsia="zh-CN"/>
        </w:rPr>
      </w:pPr>
      <w:r>
        <w:rPr>
          <w:rFonts w:hint="eastAsia"/>
          <w:color w:val="auto"/>
          <w:highlight w:val="none"/>
          <w:lang w:val="en-US" w:eastAsia="zh-CN"/>
        </w:rPr>
        <w:t>（七）人员经费足额发放率指标完成情况分析</w:t>
      </w:r>
    </w:p>
    <w:p w14:paraId="6ECDE35C">
      <w:pPr>
        <w:rPr>
          <w:rFonts w:hint="eastAsia"/>
          <w:color w:val="auto"/>
          <w:highlight w:val="none"/>
          <w:lang w:val="en-US" w:eastAsia="zh-CN"/>
        </w:rPr>
      </w:pPr>
    </w:p>
    <w:p w14:paraId="2C053EFB">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41298076">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14:paraId="4B3033DC">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14:paraId="6FFE5129">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14:paraId="4C45C2F9">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14:paraId="48A78932">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3ED52986">
      <w:pPr>
        <w:bidi w:val="0"/>
        <w:rPr>
          <w:rFonts w:hint="eastAsia"/>
          <w:color w:val="auto"/>
          <w:highlight w:val="none"/>
          <w:lang w:val="en-US" w:eastAsia="zh-CN"/>
        </w:rPr>
      </w:pPr>
      <w:r>
        <w:rPr>
          <w:rFonts w:hint="eastAsia"/>
          <w:color w:val="auto"/>
          <w:highlight w:val="none"/>
          <w:lang w:val="en-US" w:eastAsia="zh-CN"/>
        </w:rPr>
        <w:t>医保政策知晓率指标年初设定目标是&gt;=90%，年中绩效运行监控时完成值100%，年终实际完成值是90%，指标完成率是100%，提高了居民对医保政策的理解和信任的预期目标。偏差原因：无偏差。</w:t>
      </w:r>
    </w:p>
    <w:p w14:paraId="60065F43">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（十一）</w:t>
      </w:r>
      <w:r>
        <w:rPr>
          <w:rFonts w:hint="eastAsia"/>
          <w:color w:val="auto"/>
          <w:highlight w:val="none"/>
          <w:lang w:val="en-US" w:eastAsia="zh-CN"/>
        </w:rPr>
        <w:t>提升本辖区居民健康水平指标完成情况分析</w:t>
      </w:r>
    </w:p>
    <w:p w14:paraId="422E798A">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提升本辖区居民健康水平指标年初设定目标是&gt;=95%，年中绩效运行监控时完成值未达监控节点，年终实际完成值是95%，指标完成率是100%，提高了本辖区居民健康水平的预期目标。偏差原因：无偏差。</w:t>
      </w:r>
    </w:p>
    <w:p w14:paraId="3AB72278">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14:paraId="3AE9C3BB">
      <w:pPr>
        <w:bidi w:val="0"/>
        <w:rPr>
          <w:rFonts w:hint="eastAsia"/>
          <w:color w:val="auto"/>
          <w:highlight w:val="none"/>
          <w:lang w:val="en-US" w:eastAsia="zh-CN"/>
        </w:rPr>
      </w:pPr>
      <w:r>
        <w:rPr>
          <w:rFonts w:hint="eastAsia"/>
          <w:color w:val="auto"/>
          <w:highlight w:val="none"/>
          <w:lang w:val="en-US" w:eastAsia="zh-CN"/>
        </w:rPr>
        <w:t>居民满意度指标年初设定目标是&gt;=92%，年中绩效运行监控时完成值未达监控节点，年终实际完成值是92%，指标完成率是100%，提升了患者满意度和就诊体验的预期目标。偏差原因：无偏差。</w:t>
      </w:r>
    </w:p>
    <w:p w14:paraId="53FBE5EE">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79AE8257">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213A1E63">
      <w:pPr>
        <w:bidi w:val="0"/>
        <w:spacing w:line="560" w:lineRule="exact"/>
        <w:ind w:firstLine="560" w:firstLineChars="20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巴伦台镇中心卫生院</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5D940E57">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1E4F9901">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3E2C938D">
      <w:pPr>
        <w:numPr>
          <w:ilvl w:val="0"/>
          <w:numId w:val="2"/>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594B0E38">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6907A8FB">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6A84A94E">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增强预算的约束力和严肃性，落实预算执行分析，及时了解预算执行差异，合理调整、纠正预算执行偏差，切实提高部门预算收支管理水平。尽可能地做到决算与预算相衔接。</w:t>
      </w:r>
    </w:p>
    <w:p w14:paraId="0831E803">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135C0100">
      <w:pPr>
        <w:pStyle w:val="3"/>
        <w:bidi w:val="0"/>
        <w:rPr>
          <w:rFonts w:hint="default"/>
          <w:color w:val="auto"/>
          <w:highlight w:val="none"/>
          <w:lang w:val="en-US" w:eastAsia="zh-CN"/>
        </w:rPr>
      </w:pPr>
      <w:r>
        <w:rPr>
          <w:rFonts w:hint="eastAsia"/>
          <w:color w:val="auto"/>
          <w:highlight w:val="none"/>
          <w:lang w:val="en-US" w:eastAsia="zh-CN"/>
        </w:rPr>
        <w:t>七、附件上传</w:t>
      </w:r>
    </w:p>
    <w:p w14:paraId="2AE3CF91">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0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DDF00">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5D1BE1D1">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D890B2"/>
    <w:multiLevelType w:val="singleLevel"/>
    <w:tmpl w:val="E6D890B2"/>
    <w:lvl w:ilvl="0" w:tentative="0">
      <w:start w:val="1"/>
      <w:numFmt w:val="chineseCounting"/>
      <w:suff w:val="nothing"/>
      <w:lvlText w:val="（%1）"/>
      <w:lvlJc w:val="left"/>
      <w:pPr>
        <w:ind w:left="-80"/>
      </w:pPr>
      <w:rPr>
        <w:rFonts w:hint="eastAsia"/>
      </w:rPr>
    </w:lvl>
  </w:abstractNum>
  <w:abstractNum w:abstractNumId="1">
    <w:nsid w:val="00000000"/>
    <w:multiLevelType w:val="singleLevel"/>
    <w:tmpl w:val="0000000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00000000"/>
    <w:rsid w:val="04EE6841"/>
    <w:rsid w:val="07B94D57"/>
    <w:rsid w:val="169C1CBD"/>
    <w:rsid w:val="170429E6"/>
    <w:rsid w:val="210D34E1"/>
    <w:rsid w:val="21F931DB"/>
    <w:rsid w:val="22356855"/>
    <w:rsid w:val="22B27786"/>
    <w:rsid w:val="269D7301"/>
    <w:rsid w:val="2FFB3035"/>
    <w:rsid w:val="30F229C1"/>
    <w:rsid w:val="34725813"/>
    <w:rsid w:val="47DF1681"/>
    <w:rsid w:val="495F2B61"/>
    <w:rsid w:val="4B9658C6"/>
    <w:rsid w:val="55C93F7F"/>
    <w:rsid w:val="5A4F5EDF"/>
    <w:rsid w:val="65197815"/>
    <w:rsid w:val="6CE138B6"/>
    <w:rsid w:val="6D995997"/>
    <w:rsid w:val="73A7566F"/>
    <w:rsid w:val="79BD47BC"/>
    <w:rsid w:val="7C0B2C6B"/>
    <w:rsid w:val="7D3F34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qFormat/>
    <w:uiPriority w:val="0"/>
    <w:pPr>
      <w:keepNext/>
      <w:keepLines/>
      <w:spacing w:before="50" w:beforeLines="50" w:beforeAutospacing="0" w:afterAutospacing="0" w:line="360" w:lineRule="auto"/>
      <w:outlineLvl w:val="1"/>
    </w:pPr>
    <w:rPr>
      <w:rFonts w:ascii="Arial" w:hAnsi="Arial" w:eastAsia="楷体_GB2312"/>
      <w:b/>
      <w:sz w:val="32"/>
    </w:rPr>
  </w:style>
  <w:style w:type="paragraph" w:styleId="2">
    <w:name w:val="heading 3"/>
    <w:basedOn w:val="1"/>
    <w:next w:val="1"/>
    <w:qFormat/>
    <w:uiPriority w:val="9"/>
    <w:pPr>
      <w:keepNext/>
      <w:keepLines/>
      <w:spacing w:before="140" w:line="360" w:lineRule="auto"/>
      <w:outlineLvl w:val="2"/>
    </w:pPr>
    <w:rPr>
      <w:b/>
      <w:bCs/>
      <w:sz w:val="30"/>
      <w:szCs w:val="32"/>
    </w:rPr>
  </w:style>
  <w:style w:type="character" w:default="1" w:styleId="18">
    <w:name w:val="Default Paragraph Font"/>
    <w:qFormat/>
    <w:uiPriority w:val="1"/>
  </w:style>
  <w:style w:type="table" w:default="1" w:styleId="16">
    <w:name w:val="Normal Table"/>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qFormat/>
    <w:uiPriority w:val="99"/>
    <w:pPr>
      <w:tabs>
        <w:tab w:val="center" w:pos="4153"/>
        <w:tab w:val="right" w:pos="8306"/>
      </w:tabs>
      <w:snapToGrid w:val="0"/>
      <w:jc w:val="left"/>
    </w:pPr>
    <w:rPr>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_9af5ac6e-8f7e-482e-8209-6a458a9c0f40"/>
    <w:basedOn w:val="1"/>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Calibri" w:hAnsi="Calibri" w:eastAsia="宋体" w:cs="宋体"/>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2024&#24180;&#25972;&#20307;&#30446;&#26631;\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5192</Words>
  <Characters>5543</Characters>
  <Paragraphs>93</Paragraphs>
  <TotalTime>14</TotalTime>
  <ScaleCrop>false</ScaleCrop>
  <LinksUpToDate>false</LinksUpToDate>
  <CharactersWithSpaces>5547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2024-11-21T05:17:13Z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9eb5b3df4a3b499eb08cbc16331e5567_23</vt:lpwstr>
  </property>
</Properties>
</file>