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DFB36">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45B6655">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09C6E9B">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8A8B343">
      <w:pPr>
        <w:pStyle w:val="4"/>
        <w:bidi w:val="0"/>
        <w:rPr>
          <w:rFonts w:hint="eastAsia"/>
          <w:color w:val="auto"/>
          <w:highlight w:val="none"/>
          <w:lang w:val="en-US" w:eastAsia="zh-CN"/>
        </w:rPr>
      </w:pPr>
      <w:r>
        <w:rPr>
          <w:rFonts w:hint="eastAsia"/>
          <w:color w:val="auto"/>
          <w:highlight w:val="none"/>
          <w:lang w:val="en-US" w:eastAsia="zh-CN"/>
        </w:rPr>
        <w:t>1.部门主要职能</w:t>
      </w:r>
    </w:p>
    <w:p w14:paraId="634D670A">
      <w:pPr>
        <w:bidi w:val="0"/>
        <w:rPr>
          <w:rFonts w:hint="eastAsia" w:cs="Times New Roman"/>
          <w:color w:val="auto"/>
          <w:highlight w:val="none"/>
          <w:lang w:val="en-US" w:eastAsia="zh-CN"/>
        </w:rPr>
      </w:pPr>
      <w:r>
        <w:rPr>
          <w:rFonts w:hint="eastAsia"/>
          <w:color w:val="auto"/>
          <w:szCs w:val="28"/>
          <w:highlight w:val="none"/>
          <w:lang w:val="en-US" w:eastAsia="zh-CN"/>
        </w:rPr>
        <w:t>和静县本级</w:t>
      </w:r>
      <w:r>
        <w:rPr>
          <w:rFonts w:hint="eastAsia"/>
          <w:color w:val="auto"/>
          <w:highlight w:val="none"/>
          <w:lang w:val="en-US" w:eastAsia="zh-CN"/>
        </w:rPr>
        <w:t>和静县蒙医医院</w:t>
      </w:r>
      <w:r>
        <w:rPr>
          <w:rFonts w:hint="eastAsia"/>
          <w:color w:val="auto"/>
          <w:szCs w:val="28"/>
          <w:highlight w:val="none"/>
        </w:rPr>
        <w:t>为</w:t>
      </w:r>
      <w:r>
        <w:rPr>
          <w:rFonts w:hint="eastAsia"/>
          <w:color w:val="auto"/>
          <w:szCs w:val="28"/>
          <w:highlight w:val="none"/>
          <w:lang w:eastAsia="zh-CN"/>
        </w:rPr>
        <w:t>差额拨款事</w:t>
      </w:r>
      <w:r>
        <w:rPr>
          <w:rFonts w:hint="eastAsia" w:cs="Times New Roman"/>
          <w:color w:val="auto"/>
          <w:highlight w:val="none"/>
          <w:lang w:val="en-US" w:eastAsia="zh-CN"/>
        </w:rPr>
        <w:t>业单位，主要职责是：</w:t>
      </w:r>
    </w:p>
    <w:p w14:paraId="66073867">
      <w:pPr>
        <w:bidi w:val="0"/>
        <w:ind w:left="0" w:leftChars="0" w:firstLine="0" w:firstLineChars="0"/>
        <w:rPr>
          <w:rFonts w:hint="eastAsia"/>
          <w:color w:val="auto"/>
          <w:highlight w:val="none"/>
          <w:lang w:val="en-US" w:eastAsia="zh-CN"/>
        </w:rPr>
      </w:pPr>
      <w:r>
        <w:rPr>
          <w:rFonts w:hint="eastAsia" w:cs="Times New Roman"/>
          <w:color w:val="auto"/>
          <w:highlight w:val="none"/>
          <w:lang w:val="en-US" w:eastAsia="zh-CN"/>
        </w:rPr>
        <w:t>和静县蒙医医院是蒙医医疗，讲座、科研、预防、保健、</w:t>
      </w:r>
      <w:r>
        <w:rPr>
          <w:rFonts w:hint="eastAsia"/>
          <w:color w:val="auto"/>
          <w:highlight w:val="none"/>
          <w:lang w:val="en-US" w:eastAsia="zh-CN"/>
        </w:rPr>
        <w:t>五疗、药浴、康复为一体的民族医院，设有蒙医、蒙藏医、蒙西医、中医等特色专家门诊医院住院部设有内科、五疗科、疼痛科、蒙医排毒室、药浴科等。住院患者以蒙西医结合系统治疗为主，另外开展物理</w:t>
      </w:r>
      <w:bookmarkStart w:id="6" w:name="_GoBack"/>
      <w:bookmarkEnd w:id="6"/>
      <w:r>
        <w:rPr>
          <w:rFonts w:hint="eastAsia"/>
          <w:color w:val="auto"/>
          <w:highlight w:val="none"/>
          <w:lang w:val="en-US" w:eastAsia="zh-CN"/>
        </w:rPr>
        <w:t>治疗，蒙医药浴、蒙医排毒、蒙医足浴、蒙中医推拿按摩、传统金灸术、银针疗法、针灸、拔罐穿刺、放血疗法、小针刀、穴位注入药物等诊疗项目。其中五疗、药浴、蒙医排毒、针灸理疗为医院特色，主治风湿、类风湿、关节炎、骨质增生、腰腿疼痛、皮肤病、心脑血管疾病、消化系统疾病、呼吸系统疾病、内分泌系统疾病、各种肥胖及妇科疑难杂症。</w:t>
      </w:r>
    </w:p>
    <w:p w14:paraId="5A8DCE86">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3EA644CD">
      <w:pPr>
        <w:bidi w:val="0"/>
        <w:rPr>
          <w:rFonts w:hint="eastAsia" w:eastAsia="仿宋"/>
          <w:color w:val="auto"/>
          <w:highlight w:val="none"/>
          <w:lang w:eastAsia="zh-CN"/>
        </w:rPr>
      </w:pPr>
      <w:r>
        <w:rPr>
          <w:rFonts w:hint="eastAsia"/>
          <w:color w:val="auto"/>
          <w:highlight w:val="none"/>
          <w:lang w:val="en-US" w:eastAsia="zh-CN"/>
        </w:rPr>
        <w:t>和静县蒙医医院单位机构设置：无下属预算单位，</w:t>
      </w:r>
      <w:r>
        <w:rPr>
          <w:rFonts w:hint="eastAsia"/>
          <w:color w:val="auto"/>
          <w:szCs w:val="28"/>
          <w:highlight w:val="none"/>
        </w:rPr>
        <w:t>根据上述职责，</w:t>
      </w:r>
      <w:r>
        <w:rPr>
          <w:rFonts w:hint="eastAsia"/>
          <w:color w:val="auto"/>
          <w:szCs w:val="28"/>
          <w:highlight w:val="none"/>
          <w:lang w:val="en-US" w:eastAsia="zh-CN"/>
        </w:rPr>
        <w:t>和静县蒙医医院</w:t>
      </w:r>
      <w:r>
        <w:rPr>
          <w:color w:val="auto"/>
          <w:spacing w:val="-5"/>
          <w:highlight w:val="none"/>
        </w:rPr>
        <w:t>下设</w:t>
      </w:r>
      <w:r>
        <w:rPr>
          <w:rFonts w:hint="eastAsia"/>
          <w:color w:val="auto"/>
          <w:spacing w:val="-5"/>
          <w:highlight w:val="none"/>
          <w:lang w:val="en-US" w:eastAsia="zh-CN"/>
        </w:rPr>
        <w:t>20</w:t>
      </w:r>
      <w:r>
        <w:rPr>
          <w:color w:val="auto"/>
          <w:spacing w:val="-15"/>
          <w:highlight w:val="none"/>
        </w:rPr>
        <w:t>个处室，分</w:t>
      </w:r>
      <w:r>
        <w:rPr>
          <w:color w:val="auto"/>
          <w:spacing w:val="-10"/>
          <w:w w:val="95"/>
          <w:highlight w:val="none"/>
        </w:rPr>
        <w:t>别是：内科</w:t>
      </w:r>
      <w:r>
        <w:rPr>
          <w:rFonts w:hint="eastAsia"/>
          <w:color w:val="auto"/>
          <w:spacing w:val="-10"/>
          <w:w w:val="95"/>
          <w:highlight w:val="none"/>
          <w:lang w:eastAsia="zh-CN"/>
        </w:rPr>
        <w:t>、</w:t>
      </w:r>
      <w:r>
        <w:rPr>
          <w:color w:val="auto"/>
          <w:spacing w:val="-10"/>
          <w:w w:val="95"/>
          <w:highlight w:val="none"/>
        </w:rPr>
        <w:t>体检科、塔布恩阿尔善科、</w:t>
      </w:r>
      <w:r>
        <w:rPr>
          <w:rFonts w:hint="eastAsia"/>
          <w:color w:val="auto"/>
          <w:spacing w:val="-10"/>
          <w:w w:val="95"/>
          <w:highlight w:val="none"/>
          <w:lang w:eastAsia="zh-CN"/>
        </w:rPr>
        <w:t>扎萨勒科、心身医学科、</w:t>
      </w:r>
      <w:r>
        <w:rPr>
          <w:color w:val="auto"/>
          <w:spacing w:val="-10"/>
          <w:w w:val="95"/>
          <w:highlight w:val="none"/>
        </w:rPr>
        <w:t>检验科、</w:t>
      </w:r>
      <w:r>
        <w:rPr>
          <w:rFonts w:hint="eastAsia"/>
          <w:color w:val="auto"/>
          <w:spacing w:val="-10"/>
          <w:w w:val="95"/>
          <w:highlight w:val="none"/>
          <w:lang w:eastAsia="zh-CN"/>
        </w:rPr>
        <w:t>五疗科、</w:t>
      </w:r>
      <w:r>
        <w:rPr>
          <w:color w:val="auto"/>
          <w:spacing w:val="-10"/>
          <w:w w:val="95"/>
          <w:highlight w:val="none"/>
        </w:rPr>
        <w:t>功能科、药剂</w:t>
      </w:r>
      <w:r>
        <w:rPr>
          <w:color w:val="auto"/>
          <w:spacing w:val="-13"/>
          <w:highlight w:val="none"/>
        </w:rPr>
        <w:t xml:space="preserve">科、门诊部等医技科室 </w:t>
      </w:r>
      <w:r>
        <w:rPr>
          <w:rFonts w:hint="eastAsia"/>
          <w:color w:val="auto"/>
          <w:highlight w:val="none"/>
          <w:lang w:val="en-US" w:eastAsia="zh-CN"/>
        </w:rPr>
        <w:t>10</w:t>
      </w:r>
      <w:r>
        <w:rPr>
          <w:color w:val="auto"/>
          <w:spacing w:val="-12"/>
          <w:highlight w:val="none"/>
        </w:rPr>
        <w:t>个，院办、党办、医务科、护理部、院</w:t>
      </w:r>
      <w:r>
        <w:rPr>
          <w:color w:val="auto"/>
          <w:spacing w:val="-10"/>
          <w:w w:val="95"/>
          <w:highlight w:val="none"/>
        </w:rPr>
        <w:t>感办、财务科、医保办、总务科、信息科、</w:t>
      </w:r>
      <w:r>
        <w:rPr>
          <w:rFonts w:hint="eastAsia"/>
          <w:color w:val="auto"/>
          <w:spacing w:val="-10"/>
          <w:w w:val="95"/>
          <w:highlight w:val="none"/>
          <w:lang w:eastAsia="zh-CN"/>
        </w:rPr>
        <w:t>人力资源</w:t>
      </w:r>
      <w:r>
        <w:rPr>
          <w:color w:val="auto"/>
          <w:spacing w:val="-10"/>
          <w:w w:val="95"/>
          <w:highlight w:val="none"/>
        </w:rPr>
        <w:t>等行政职能</w:t>
      </w:r>
      <w:r>
        <w:rPr>
          <w:color w:val="auto"/>
          <w:spacing w:val="-25"/>
          <w:highlight w:val="none"/>
        </w:rPr>
        <w:t xml:space="preserve">后勤科室 </w:t>
      </w:r>
      <w:r>
        <w:rPr>
          <w:color w:val="auto"/>
          <w:highlight w:val="none"/>
        </w:rPr>
        <w:t>10</w:t>
      </w:r>
      <w:r>
        <w:rPr>
          <w:color w:val="auto"/>
          <w:spacing w:val="-27"/>
          <w:highlight w:val="none"/>
        </w:rPr>
        <w:t xml:space="preserve"> 个</w:t>
      </w:r>
      <w:r>
        <w:rPr>
          <w:rFonts w:hint="eastAsia"/>
          <w:color w:val="auto"/>
          <w:spacing w:val="-27"/>
          <w:highlight w:val="none"/>
          <w:lang w:eastAsia="zh-CN"/>
        </w:rPr>
        <w:t>。</w:t>
      </w:r>
    </w:p>
    <w:p w14:paraId="5310F4D7">
      <w:pPr>
        <w:snapToGrid w:val="0"/>
        <w:spacing w:line="520" w:lineRule="exact"/>
        <w:ind w:firstLine="640" w:firstLineChars="200"/>
        <w:rPr>
          <w:rFonts w:hint="eastAsia" w:ascii="仿宋_GB2312" w:hAnsi="仿宋" w:eastAsia="仿宋_GB2312"/>
          <w:color w:val="auto"/>
          <w:sz w:val="32"/>
          <w:szCs w:val="32"/>
          <w:highlight w:val="none"/>
        </w:rPr>
      </w:pPr>
    </w:p>
    <w:p w14:paraId="05AE86CB">
      <w:pPr>
        <w:bidi w:val="0"/>
        <w:rPr>
          <w:rFonts w:hint="eastAsia"/>
          <w:color w:val="auto"/>
          <w:highlight w:val="none"/>
          <w:lang w:val="en-US" w:eastAsia="zh-CN"/>
        </w:rPr>
      </w:pPr>
      <w:r>
        <w:rPr>
          <w:rFonts w:hint="eastAsia"/>
          <w:color w:val="auto"/>
          <w:highlight w:val="none"/>
          <w:lang w:val="en-US" w:eastAsia="zh-CN"/>
        </w:rPr>
        <w:t>和静县蒙医医院单位人员总数70名，其中：在职47名，退休2名，离休0名、其他人员21人。实有人员70人。</w:t>
      </w:r>
    </w:p>
    <w:p w14:paraId="12390C0E">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3A57F53">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56986E21">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4A408E4D">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446E02AB">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779C3AE7">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169A45BB">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7F20FE30">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4C6E83C8">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B9DE013">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C95DBE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A886B2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我单位年初预算数为1621.60万元，实际预算执行数1621.60万元，预算执行率为100%。</w:t>
      </w:r>
    </w:p>
    <w:p w14:paraId="23B0AE1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44D208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全年预算数为2388.93万元，全年实际支出资金2388.93万元，预算执行率为100%。</w:t>
      </w:r>
    </w:p>
    <w:p w14:paraId="00C98C98">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0958FCC6">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1621.60</w:t>
      </w:r>
      <w:r>
        <w:rPr>
          <w:rFonts w:hint="eastAsia" w:ascii="Times New Roman" w:hAnsi="Times New Roman" w:cs="Times New Roman"/>
          <w:bCs/>
          <w:color w:val="auto"/>
          <w:highlight w:val="none"/>
          <w:lang w:eastAsia="zh-CN"/>
        </w:rPr>
        <w:t>万元，年中调整数767.33万元，调整后全年预算数</w:t>
      </w:r>
      <w:r>
        <w:rPr>
          <w:rFonts w:hint="eastAsia" w:ascii="Times New Roman" w:hAnsi="Times New Roman" w:cs="Times New Roman"/>
          <w:bCs/>
          <w:color w:val="auto"/>
          <w:highlight w:val="none"/>
          <w:lang w:val="en-US" w:eastAsia="zh-CN"/>
        </w:rPr>
        <w:t>2388.93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47.32</w:t>
      </w:r>
      <w:r>
        <w:rPr>
          <w:rFonts w:hint="eastAsia" w:ascii="Times New Roman" w:hAnsi="Times New Roman" w:cs="Times New Roman"/>
          <w:bCs/>
          <w:color w:val="auto"/>
          <w:highlight w:val="none"/>
          <w:lang w:eastAsia="zh-CN"/>
        </w:rPr>
        <w:t>%。</w:t>
      </w:r>
    </w:p>
    <w:p w14:paraId="74B51C64">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767B43E0">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2388.93</w:t>
      </w:r>
      <w:r>
        <w:rPr>
          <w:rFonts w:hint="default"/>
          <w:color w:val="auto"/>
          <w:highlight w:val="none"/>
          <w:lang w:val="en-US" w:eastAsia="zh-CN"/>
        </w:rPr>
        <w:t>万元，其中：</w:t>
      </w:r>
    </w:p>
    <w:p w14:paraId="66340DCB">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2100.22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1114.46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985.76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22B85902">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288.70</w:t>
      </w:r>
      <w:r>
        <w:rPr>
          <w:rFonts w:hint="default"/>
          <w:color w:val="auto"/>
          <w:highlight w:val="none"/>
          <w:lang w:val="en-US" w:eastAsia="zh-CN"/>
        </w:rPr>
        <w:t>万元，主要用于保障</w:t>
      </w:r>
      <w:r>
        <w:rPr>
          <w:rFonts w:hint="eastAsia"/>
          <w:color w:val="auto"/>
          <w:highlight w:val="none"/>
          <w:lang w:val="en-US" w:eastAsia="zh-CN"/>
        </w:rPr>
        <w:t>医疗服务与保障能力提升[中医药传承与发展部分]</w:t>
      </w:r>
      <w:r>
        <w:rPr>
          <w:rFonts w:hint="default"/>
          <w:color w:val="auto"/>
          <w:highlight w:val="none"/>
          <w:lang w:val="en-US" w:eastAsia="zh-CN"/>
        </w:rPr>
        <w:t>项目、</w:t>
      </w:r>
      <w:r>
        <w:rPr>
          <w:rFonts w:hint="eastAsia"/>
          <w:color w:val="auto"/>
          <w:highlight w:val="none"/>
          <w:lang w:val="en-US" w:eastAsia="zh-CN"/>
        </w:rPr>
        <w:t>地方公共卫生服务补助（全民健康体检）</w:t>
      </w:r>
      <w:r>
        <w:rPr>
          <w:rFonts w:hint="default"/>
          <w:color w:val="auto"/>
          <w:highlight w:val="none"/>
          <w:lang w:val="en-US" w:eastAsia="zh-CN"/>
        </w:rPr>
        <w:t>项目、医务一线人员临时性工作补助项目</w:t>
      </w:r>
      <w:r>
        <w:rPr>
          <w:rFonts w:hint="eastAsia"/>
          <w:color w:val="auto"/>
          <w:highlight w:val="none"/>
          <w:lang w:val="en-US" w:eastAsia="zh-CN"/>
        </w:rPr>
        <w:t>、2023年中央财政重大传染病防治补助项目、医疗服务与保障能力提升补助</w:t>
      </w:r>
      <w:r>
        <w:rPr>
          <w:rFonts w:hint="default"/>
          <w:color w:val="auto"/>
          <w:highlight w:val="none"/>
          <w:lang w:val="en-US" w:eastAsia="zh-CN"/>
        </w:rPr>
        <w:t>等项目支出。</w:t>
      </w:r>
    </w:p>
    <w:p w14:paraId="53FE0B17">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9D7291D">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71D2BA1F">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2100.22万元，全年实际支出2100.22万元，资金执行率100%。基本支出严格按照财务管理制度执行，其中：</w:t>
      </w:r>
    </w:p>
    <w:p w14:paraId="62BE48FF">
      <w:pPr>
        <w:bidi w:val="0"/>
        <w:rPr>
          <w:rFonts w:hint="eastAsia"/>
          <w:color w:val="auto"/>
          <w:highlight w:val="none"/>
          <w:lang w:val="en-US" w:eastAsia="zh-CN"/>
        </w:rPr>
      </w:pPr>
      <w:r>
        <w:rPr>
          <w:rFonts w:hint="eastAsia"/>
          <w:color w:val="auto"/>
          <w:highlight w:val="none"/>
          <w:lang w:val="en-US" w:eastAsia="zh-CN"/>
        </w:rPr>
        <w:t>人员经费支出1114.46万元，主要包括：基本工资、津贴补贴、奖金、绩效工资、机关事业单位基本养老保险缴费、职业年金缴费、职工基本医疗保险缴费、其他社会保障缴费、住房公积金、其他工资福利支出、生活补助等。</w:t>
      </w:r>
    </w:p>
    <w:p w14:paraId="46BC40B9">
      <w:pPr>
        <w:bidi w:val="0"/>
        <w:rPr>
          <w:rFonts w:hint="eastAsia"/>
          <w:color w:val="auto"/>
          <w:highlight w:val="none"/>
          <w:lang w:val="en-US" w:eastAsia="zh-CN"/>
        </w:rPr>
      </w:pPr>
      <w:r>
        <w:rPr>
          <w:rFonts w:hint="eastAsia"/>
          <w:color w:val="auto"/>
          <w:highlight w:val="none"/>
          <w:lang w:val="en-US" w:eastAsia="zh-CN"/>
        </w:rPr>
        <w:t>公用经费支出985.76万元，主要包括：办公费、印刷费、水费、电费、邮电费、咨询费、手续费、取暖费、物业管理费、差旅费、培训费、租赁费、维修（护）费、其他交通费用。</w:t>
      </w:r>
    </w:p>
    <w:p w14:paraId="651E6504">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3E65E63E">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6E7AEA8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项目支出预算288.70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其中：上级专项资金244.83万元，本级财政资金43.87万元</w:t>
      </w:r>
      <w:r>
        <w:rPr>
          <w:rFonts w:hint="eastAsia"/>
          <w:color w:val="auto"/>
          <w:highlight w:val="none"/>
          <w:lang w:eastAsia="zh-CN"/>
        </w:rPr>
        <w:t>。</w:t>
      </w:r>
    </w:p>
    <w:p w14:paraId="455B2635">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6A2DB569">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288.70万元，其中医疗服务与保障能力提升补助资金18.48万元，2023年全民健康体检经费（县级配套）补助资金43.87万元、2023年中央财政重大传染病防治补助资金0.80万元、医务一线人员临时性工作补助资金5.24万元、地方公共卫生服务补助（全民健康体检）70.83万元、医疗服务与保障能力提升[中医药传承与发展部分]补助资金149.48万元。项目资金全部通过财政国库集中支付方式直接拨给项目实施单位。</w:t>
      </w:r>
    </w:p>
    <w:p w14:paraId="21BE36F8">
      <w:pPr>
        <w:ind w:firstLine="560" w:firstLineChars="20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医疗服务与保障能力提升[中医药传承与发展部分]补助资金制订工作方案，明确时间节点，开展项目规划设计、部署工作，认真落实项目任务。工作中突出重点，高标准规划、精细设计，通过政府采购，确定供货单位。该项目在专科建设及中医适宜技术推广中心取得重要成效：分别成立了重点专科塔布恩扎萨勒科和塔布恩阿尔善科，塔布恩扎萨勒科拥有病床30余张，塔布恩阿尔善科拥有病床20余张。2023年7月成立了急诊科，合理设置医疗区和支持区。</w:t>
      </w:r>
    </w:p>
    <w:p w14:paraId="643AEB98">
      <w:pPr>
        <w:ind w:left="0" w:leftChars="0" w:firstLine="0" w:firstLineChars="0"/>
        <w:rPr>
          <w:rFonts w:hint="default"/>
          <w:color w:val="auto"/>
          <w:highlight w:val="none"/>
          <w:lang w:val="en-US" w:eastAsia="zh-CN"/>
        </w:rPr>
      </w:pPr>
      <w:r>
        <w:rPr>
          <w:rFonts w:hint="eastAsia"/>
          <w:color w:val="auto"/>
          <w:highlight w:val="none"/>
          <w:lang w:val="en-US" w:eastAsia="zh-CN"/>
        </w:rPr>
        <w:t>和静县蒙医医院中医适宜技术推广中心于2023年7月成立。拥有中医适宜技术推广培训基地，2023年9月中旬及12月下旬集中培训理论及实操两次。另外我院</w:t>
      </w:r>
      <w:r>
        <w:rPr>
          <w:rFonts w:hint="default"/>
          <w:color w:val="auto"/>
          <w:highlight w:val="none"/>
          <w:lang w:val="en-US" w:eastAsia="zh-CN"/>
        </w:rPr>
        <w:t>设置</w:t>
      </w:r>
      <w:r>
        <w:rPr>
          <w:rFonts w:hint="eastAsia"/>
          <w:color w:val="auto"/>
          <w:highlight w:val="none"/>
          <w:lang w:val="en-US" w:eastAsia="zh-CN"/>
        </w:rPr>
        <w:t>中医适宜技术推广</w:t>
      </w:r>
      <w:r>
        <w:rPr>
          <w:rFonts w:hint="default"/>
          <w:color w:val="auto"/>
          <w:highlight w:val="none"/>
          <w:lang w:val="en-US" w:eastAsia="zh-CN"/>
        </w:rPr>
        <w:t>示教室</w:t>
      </w:r>
      <w:r>
        <w:rPr>
          <w:rFonts w:hint="eastAsia"/>
          <w:color w:val="auto"/>
          <w:highlight w:val="none"/>
          <w:lang w:val="en-US" w:eastAsia="zh-CN"/>
        </w:rPr>
        <w:t>，配备人体模型、书籍等设备设施，方便学员便于操作。</w:t>
      </w:r>
    </w:p>
    <w:p w14:paraId="45D4C152">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6B5AC82">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度安排项目支出资金288.70万元，</w:t>
      </w:r>
      <w:r>
        <w:rPr>
          <w:rFonts w:hint="eastAsia"/>
          <w:color w:val="auto"/>
          <w:highlight w:val="none"/>
          <w:lang w:eastAsia="zh-CN"/>
        </w:rPr>
        <w:t>实际</w:t>
      </w:r>
      <w:r>
        <w:rPr>
          <w:rFonts w:hint="eastAsia"/>
          <w:color w:val="auto"/>
          <w:highlight w:val="none"/>
          <w:lang w:val="en-US" w:eastAsia="zh-CN"/>
        </w:rPr>
        <w:t>支出288.70</w:t>
      </w:r>
      <w:r>
        <w:rPr>
          <w:rFonts w:hint="eastAsia"/>
          <w:color w:val="auto"/>
          <w:highlight w:val="none"/>
          <w:lang w:eastAsia="zh-CN"/>
        </w:rPr>
        <w:t>万元，</w:t>
      </w:r>
      <w:r>
        <w:rPr>
          <w:rFonts w:hint="eastAsia"/>
          <w:color w:val="auto"/>
          <w:highlight w:val="none"/>
          <w:lang w:val="en-US" w:eastAsia="zh-CN"/>
        </w:rPr>
        <w:t>其中：上级专项资金支出244.83万元，本级财政安排项目资金支出43.87万元，项目预算资金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45F9A206">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包括公立医院支出</w:t>
      </w:r>
      <w:r>
        <w:rPr>
          <w:rFonts w:hint="eastAsia"/>
          <w:color w:val="auto"/>
          <w:highlight w:val="none"/>
          <w:lang w:val="en-US" w:eastAsia="zh-CN"/>
        </w:rPr>
        <w:t>18.48</w:t>
      </w:r>
      <w:r>
        <w:rPr>
          <w:rFonts w:hint="default"/>
          <w:color w:val="auto"/>
          <w:highlight w:val="none"/>
          <w:lang w:val="en-US" w:eastAsia="zh-CN"/>
        </w:rPr>
        <w:t>万元，公共卫生支出</w:t>
      </w:r>
      <w:r>
        <w:rPr>
          <w:rFonts w:hint="eastAsia"/>
          <w:color w:val="auto"/>
          <w:highlight w:val="none"/>
          <w:lang w:val="en-US" w:eastAsia="zh-CN"/>
        </w:rPr>
        <w:t>120.74</w:t>
      </w:r>
      <w:r>
        <w:rPr>
          <w:rFonts w:hint="default"/>
          <w:color w:val="auto"/>
          <w:highlight w:val="none"/>
          <w:lang w:val="en-US" w:eastAsia="zh-CN"/>
        </w:rPr>
        <w:t>万元，中医药支出</w:t>
      </w:r>
      <w:r>
        <w:rPr>
          <w:rFonts w:hint="eastAsia"/>
          <w:color w:val="auto"/>
          <w:highlight w:val="none"/>
          <w:lang w:val="en-US" w:eastAsia="zh-CN"/>
        </w:rPr>
        <w:t>149.48</w:t>
      </w:r>
      <w:r>
        <w:rPr>
          <w:rFonts w:hint="default"/>
          <w:color w:val="auto"/>
          <w:highlight w:val="none"/>
          <w:lang w:val="en-US" w:eastAsia="zh-CN"/>
        </w:rPr>
        <w:t>万元</w:t>
      </w:r>
      <w:r>
        <w:rPr>
          <w:rFonts w:hint="eastAsia"/>
          <w:color w:val="auto"/>
          <w:highlight w:val="none"/>
          <w:lang w:val="en-US" w:eastAsia="zh-CN"/>
        </w:rPr>
        <w:t>。</w:t>
      </w:r>
    </w:p>
    <w:bookmarkEnd w:id="2"/>
    <w:p w14:paraId="52DA5259">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A63FB9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91.67</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0918891">
      <w:pPr>
        <w:pStyle w:val="3"/>
        <w:numPr>
          <w:ilvl w:val="0"/>
          <w:numId w:val="1"/>
        </w:numPr>
        <w:bidi w:val="0"/>
        <w:rPr>
          <w:color w:val="auto"/>
          <w:highlight w:val="none"/>
        </w:rPr>
      </w:pPr>
      <w:r>
        <w:rPr>
          <w:rFonts w:hint="eastAsia"/>
          <w:color w:val="auto"/>
          <w:highlight w:val="none"/>
          <w:lang w:val="en-US" w:eastAsia="zh-CN"/>
        </w:rPr>
        <w:t>项目支出预算执行率</w:t>
      </w:r>
      <w:r>
        <w:rPr>
          <w:rFonts w:hint="eastAsia"/>
          <w:color w:val="auto"/>
          <w:highlight w:val="none"/>
        </w:rPr>
        <w:t>指标完成情况分析</w:t>
      </w:r>
    </w:p>
    <w:p w14:paraId="51F7C72A">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项目支出预算执行率指标年初设定目标是=100%，年中绩效运行监控时完成值89.41</w:t>
      </w:r>
      <w:r>
        <w:rPr>
          <w:rFonts w:hint="eastAsia"/>
          <w:color w:val="auto"/>
          <w:highlight w:val="none"/>
          <w:lang w:val="en-US" w:eastAsia="zh-CN"/>
        </w:rPr>
        <w:tab/>
      </w:r>
      <w:r>
        <w:rPr>
          <w:rFonts w:hint="eastAsia"/>
          <w:color w:val="auto"/>
          <w:highlight w:val="none"/>
          <w:lang w:val="en-US" w:eastAsia="zh-CN"/>
        </w:rPr>
        <w:t>%，年终实际完成值是100%，指标完成率是100%，达到了资金合理分配和使用的预期目标。偏差原因：无偏差。</w:t>
      </w:r>
    </w:p>
    <w:p w14:paraId="7AA1C557">
      <w:pPr>
        <w:pStyle w:val="3"/>
        <w:numPr>
          <w:ilvl w:val="0"/>
          <w:numId w:val="1"/>
        </w:numPr>
        <w:bidi w:val="0"/>
        <w:rPr>
          <w:color w:val="auto"/>
          <w:highlight w:val="none"/>
        </w:rPr>
      </w:pPr>
      <w:r>
        <w:rPr>
          <w:rFonts w:hint="eastAsia"/>
          <w:color w:val="auto"/>
          <w:highlight w:val="none"/>
          <w:lang w:val="en-US" w:eastAsia="zh-CN"/>
        </w:rPr>
        <w:t>“三公经费”控制率</w:t>
      </w:r>
      <w:r>
        <w:rPr>
          <w:rFonts w:hint="eastAsia"/>
          <w:color w:val="auto"/>
          <w:highlight w:val="none"/>
        </w:rPr>
        <w:t>指标完成情况分析</w:t>
      </w:r>
    </w:p>
    <w:p w14:paraId="40E45290">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14:paraId="67912929">
      <w:pPr>
        <w:pStyle w:val="3"/>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（三）工作队人员经费保障人数指标完成情况分析</w:t>
      </w:r>
    </w:p>
    <w:p w14:paraId="0A810BCF">
      <w:pPr>
        <w:rPr>
          <w:rFonts w:hint="eastAsia"/>
          <w:color w:val="auto"/>
          <w:highlight w:val="none"/>
          <w:lang w:val="en-US" w:eastAsia="zh-CN"/>
        </w:rPr>
      </w:pPr>
      <w:r>
        <w:rPr>
          <w:rFonts w:hint="eastAsia"/>
          <w:color w:val="auto"/>
          <w:highlight w:val="none"/>
          <w:lang w:val="en-US" w:eastAsia="zh-CN"/>
        </w:rPr>
        <w:t>工作队人员经费保障人数指标年初设定目标是&gt;=2人，年中绩效运行监控时完成值2人，年终实际完成值是100%，指标完成率是100%，保障了工作队人员的生活保障的预期目标。偏差原因：无偏差。</w:t>
      </w:r>
    </w:p>
    <w:p w14:paraId="74DC870D">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（四）在职人员经费保障人数指标完成情况分析</w:t>
      </w:r>
    </w:p>
    <w:p w14:paraId="4C165F7A">
      <w:pPr>
        <w:pStyle w:val="3"/>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在职人员经费保障人数指标年初设定目标是&gt;=70人，年中绩效运行监控时完成值</w:t>
      </w:r>
      <w:r>
        <w:rPr>
          <w:rFonts w:hint="eastAsia" w:cs="仿宋_GB2312"/>
          <w:b w:val="0"/>
          <w:bCs w:val="0"/>
          <w:color w:val="auto"/>
          <w:kern w:val="2"/>
          <w:sz w:val="28"/>
          <w:szCs w:val="24"/>
          <w:highlight w:val="none"/>
          <w:lang w:val="en-US" w:eastAsia="zh-CN" w:bidi="ar-SA"/>
        </w:rPr>
        <w:t>7</w:t>
      </w:r>
      <w:r>
        <w:rPr>
          <w:rFonts w:hint="eastAsia" w:ascii="仿宋_GB2312" w:hAnsi="仿宋_GB2312" w:eastAsia="仿宋" w:cs="仿宋_GB2312"/>
          <w:b w:val="0"/>
          <w:bCs w:val="0"/>
          <w:color w:val="auto"/>
          <w:kern w:val="2"/>
          <w:sz w:val="28"/>
          <w:szCs w:val="24"/>
          <w:highlight w:val="none"/>
          <w:lang w:val="en-US" w:eastAsia="zh-CN" w:bidi="ar-SA"/>
        </w:rPr>
        <w:t>0人，年终实际完成值是</w:t>
      </w:r>
      <w:r>
        <w:rPr>
          <w:rFonts w:hint="eastAsia" w:cs="仿宋_GB2312"/>
          <w:b w:val="0"/>
          <w:bCs w:val="0"/>
          <w:color w:val="auto"/>
          <w:kern w:val="2"/>
          <w:sz w:val="28"/>
          <w:szCs w:val="24"/>
          <w:highlight w:val="none"/>
          <w:lang w:val="en-US" w:eastAsia="zh-CN" w:bidi="ar-SA"/>
        </w:rPr>
        <w:t>68人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97.14</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的预期目标。偏差原因：在职人员有调动，使年初目标与年终实际完成值有偏差</w:t>
      </w:r>
      <w:r>
        <w:rPr>
          <w:rFonts w:hint="eastAsia"/>
          <w:color w:val="auto"/>
          <w:highlight w:val="none"/>
          <w:lang w:val="en-US" w:eastAsia="zh-CN"/>
        </w:rPr>
        <w:t>。</w:t>
      </w:r>
    </w:p>
    <w:p w14:paraId="3501372F">
      <w:pPr>
        <w:ind w:left="0" w:leftChars="0" w:firstLine="0" w:firstLineChars="0"/>
        <w:rPr>
          <w:rFonts w:hint="eastAsia"/>
          <w:color w:val="auto"/>
          <w:highlight w:val="none"/>
          <w:lang w:val="en-US" w:eastAsia="zh-CN"/>
        </w:rPr>
      </w:pPr>
      <w:r>
        <w:rPr>
          <w:rFonts w:hint="eastAsia"/>
          <w:color w:val="auto"/>
          <w:highlight w:val="none"/>
          <w:lang w:val="en-US" w:eastAsia="zh-CN"/>
        </w:rPr>
        <w:t>改进措施：年初预算时充分考虑多方面因素，使预算更加精确。</w:t>
      </w:r>
    </w:p>
    <w:p w14:paraId="7D0DE898">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（五）退休职工经费保障人数指标完成情况分析</w:t>
      </w:r>
    </w:p>
    <w:p w14:paraId="7FEDD740">
      <w:pPr>
        <w:ind w:left="0" w:leftChars="0" w:firstLine="560" w:firstLineChars="200"/>
        <w:rPr>
          <w:rFonts w:hint="eastAsia"/>
          <w:color w:val="auto"/>
          <w:highlight w:val="none"/>
          <w:lang w:val="en-US" w:eastAsia="zh-CN"/>
        </w:rPr>
      </w:pPr>
      <w:r>
        <w:rPr>
          <w:rFonts w:hint="eastAsia"/>
          <w:color w:val="auto"/>
          <w:highlight w:val="none"/>
          <w:lang w:val="en-US" w:eastAsia="zh-CN"/>
        </w:rPr>
        <w:t>退休职工经费保障人数指标年初设定目标是&gt;=2人，年中绩效运行监控时完成值2人，年终实际完成值是2人，指标完成率是100%，达到退休职工经费按时发放的预期目标偏</w:t>
      </w:r>
      <w:r>
        <w:rPr>
          <w:rFonts w:hint="eastAsia" w:ascii="仿宋_GB2312" w:hAnsi="仿宋_GB2312" w:eastAsia="仿宋" w:cs="仿宋_GB2312"/>
          <w:b w:val="0"/>
          <w:bCs w:val="0"/>
          <w:color w:val="auto"/>
          <w:kern w:val="2"/>
          <w:sz w:val="28"/>
          <w:szCs w:val="24"/>
          <w:highlight w:val="none"/>
          <w:lang w:val="en-US" w:eastAsia="zh-CN" w:bidi="ar-SA"/>
        </w:rPr>
        <w:t>差原因：</w:t>
      </w:r>
      <w:r>
        <w:rPr>
          <w:rFonts w:hint="eastAsia"/>
          <w:color w:val="auto"/>
          <w:highlight w:val="none"/>
          <w:lang w:val="en-US" w:eastAsia="zh-CN"/>
        </w:rPr>
        <w:t>无偏差。</w:t>
      </w:r>
    </w:p>
    <w:p w14:paraId="7D3BA2D6">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（六）门诊就诊人次指标完成情况分析</w:t>
      </w:r>
    </w:p>
    <w:p w14:paraId="419A5A20">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门诊就诊人次指标年初设定目标是&gt;=17698人次，年中绩效运行监控时完成值12560人次，年终实际完成值是21294人次，指标完成率是120.32%，达到</w:t>
      </w:r>
      <w:r>
        <w:rPr>
          <w:rFonts w:hint="eastAsia" w:cs="仿宋_GB2312"/>
          <w:b w:val="0"/>
          <w:bCs w:val="0"/>
          <w:color w:val="auto"/>
          <w:kern w:val="2"/>
          <w:sz w:val="28"/>
          <w:szCs w:val="24"/>
          <w:highlight w:val="none"/>
          <w:lang w:val="en-US" w:eastAsia="zh-CN" w:bidi="ar-SA"/>
        </w:rPr>
        <w:t>门诊量增加，医疗收入增加</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49CB0BFF">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39750FF4">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人员经费足额发放率指标年初设定目标是=100%，年中绩效运行监控时完成值100%，年终实际完成值是100%，指标完成率是100%，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保障了职工的生活保障的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3BA42444">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21D134D8">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药品差价政策执行率指标年初设定目标是=100%，年中绩效运行监控时完成值100%，年终实际完成值是100%，指标完成率是100%，达到</w:t>
      </w:r>
      <w:r>
        <w:rPr>
          <w:rFonts w:hint="eastAsia" w:cs="仿宋_GB2312"/>
          <w:b w:val="0"/>
          <w:bCs w:val="0"/>
          <w:color w:val="auto"/>
          <w:kern w:val="2"/>
          <w:sz w:val="28"/>
          <w:szCs w:val="24"/>
          <w:highlight w:val="none"/>
          <w:lang w:val="en-US" w:eastAsia="zh-CN" w:bidi="ar-SA"/>
        </w:rPr>
        <w:t>了严格执行药品零差价相关政策的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5E06025E">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（九）提供医疗与护理保健服务率指标完成情况分析</w:t>
      </w:r>
    </w:p>
    <w:p w14:paraId="41CE1AF3">
      <w:pPr>
        <w:pStyle w:val="4"/>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提供医疗与护理保健服务率指标年初设定目标是&gt;=85%，年中绩效运行监控时完成值0，年。终实际完成值是85%，指标完成率是100%，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126526CB">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45AC9544">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医保政策知晓率指标年初设定目标是&gt;=85%，年中绩效运行监控时完成值85%，年终实际完成值是85%，指标完成率是100%，提高了居民对医保政策的理解和信任的预期目标。偏差原因：无偏差。</w:t>
      </w:r>
    </w:p>
    <w:p w14:paraId="6537F3C3">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14:paraId="1748F06D">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居民满意度指标年初设定目标是&gt;=85%，年中绩效运行监控时完成值未达监控节点，年终实际完成值是90%，指标完成率是100%，提升了患者满意度和就诊体验的预期目标。偏差原因：无偏差。</w:t>
      </w:r>
    </w:p>
    <w:p w14:paraId="1FB8E27C">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14:paraId="2DD11619">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90.22%，指标完成率是100%，增强了员工的积极性，提高了工作效率，减少人员流失的预期目标。偏差原因：无偏差。</w:t>
      </w:r>
    </w:p>
    <w:p w14:paraId="670E4900">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24E375E">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99.77</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2531A7E">
      <w:pPr>
        <w:bidi w:val="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和静县蒙医医院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14:paraId="2FD58783">
      <w:pPr>
        <w:pStyle w:val="2"/>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3E7A7AEE">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0B745F70">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59B81835">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42E1B072">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BC79971">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B85A1F4">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391C84C">
      <w:pPr>
        <w:pStyle w:val="2"/>
        <w:bidi w:val="0"/>
        <w:rPr>
          <w:rFonts w:hint="default"/>
          <w:color w:val="auto"/>
          <w:highlight w:val="none"/>
          <w:lang w:val="en-US" w:eastAsia="zh-CN"/>
        </w:rPr>
      </w:pPr>
      <w:r>
        <w:rPr>
          <w:rFonts w:hint="eastAsia"/>
          <w:color w:val="auto"/>
          <w:highlight w:val="none"/>
          <w:lang w:val="en-US" w:eastAsia="zh-CN"/>
        </w:rPr>
        <w:t>七、附件上传</w:t>
      </w:r>
    </w:p>
    <w:p w14:paraId="0B0472F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42A4B">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4C9F91D">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28A6753C"/>
    <w:multiLevelType w:val="singleLevel"/>
    <w:tmpl w:val="28A6753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C48260B"/>
    <w:rsid w:val="0C6738B8"/>
    <w:rsid w:val="0D7F6DE3"/>
    <w:rsid w:val="0E7D784C"/>
    <w:rsid w:val="0FBC1346"/>
    <w:rsid w:val="10300946"/>
    <w:rsid w:val="10A122E9"/>
    <w:rsid w:val="10FE60D7"/>
    <w:rsid w:val="13477178"/>
    <w:rsid w:val="134F7771"/>
    <w:rsid w:val="13E513B9"/>
    <w:rsid w:val="14FB46BE"/>
    <w:rsid w:val="158C5316"/>
    <w:rsid w:val="15B904C0"/>
    <w:rsid w:val="165C118C"/>
    <w:rsid w:val="17125CEF"/>
    <w:rsid w:val="172D035F"/>
    <w:rsid w:val="175D58E3"/>
    <w:rsid w:val="17E51656"/>
    <w:rsid w:val="18061B60"/>
    <w:rsid w:val="190C3DF8"/>
    <w:rsid w:val="19AA4D08"/>
    <w:rsid w:val="19B9393C"/>
    <w:rsid w:val="19F83E30"/>
    <w:rsid w:val="1B403139"/>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6A2A9E"/>
    <w:rsid w:val="26BF16F1"/>
    <w:rsid w:val="27F7226E"/>
    <w:rsid w:val="2805537E"/>
    <w:rsid w:val="289437EE"/>
    <w:rsid w:val="297873DB"/>
    <w:rsid w:val="29F35E61"/>
    <w:rsid w:val="2A285817"/>
    <w:rsid w:val="2B6F150A"/>
    <w:rsid w:val="2BA84EE2"/>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F301058"/>
    <w:rsid w:val="417A34F9"/>
    <w:rsid w:val="418810F4"/>
    <w:rsid w:val="41A37673"/>
    <w:rsid w:val="42503F5E"/>
    <w:rsid w:val="42C30950"/>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9EE1E48"/>
    <w:rsid w:val="5A490F5C"/>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031EC4"/>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2667</Words>
  <Characters>2859</Characters>
  <Lines>7</Lines>
  <Paragraphs>2</Paragraphs>
  <TotalTime>57</TotalTime>
  <ScaleCrop>false</ScaleCrop>
  <LinksUpToDate>false</LinksUpToDate>
  <CharactersWithSpaces>2865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