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和静县2019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年财政专项扶贫资金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第三批资产收益项目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）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绩效自评总结报告</w:t>
      </w:r>
    </w:p>
    <w:p>
      <w:pPr>
        <w:pStyle w:val="2"/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/>
          <w:b w:val="0"/>
          <w:bCs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1.财政专项扶贫资金下达预算及项目情况。</w:t>
      </w:r>
    </w:p>
    <w:p>
      <w:pPr>
        <w:spacing w:line="560" w:lineRule="exact"/>
        <w:ind w:firstLine="72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2019年和静第三批资产收益项目319.1万元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财政专项扶贫资金项目绩效目标设定情况。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4" w:firstLineChars="200"/>
        <w:jc w:val="left"/>
        <w:textAlignment w:val="auto"/>
        <w:outlineLvl w:val="9"/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 xml:space="preserve">目标1：通过带资入股农业企业，农业、农机合作社，对存在反风险和没有劳动力的贫困户进行扶持，入股资金235.1万元。购买5辆观光车，扶持贫困户25户，改善贫困户生活生产条件,不断提高贫困牧民的收入，投资金额84万元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4" w:firstLineChars="200"/>
        <w:jc w:val="left"/>
        <w:textAlignment w:val="auto"/>
        <w:outlineLvl w:val="9"/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目标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2：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 xml:space="preserve">过项目的实施，初定受益户156户266人，每年按照不低于10%比例进行分红，确保每年户均增收不低于1000元，保证贫困户增收，提高贫困牧民的收入33.71万元，巩固提升脱贫效果。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4" w:firstLineChars="200"/>
        <w:jc w:val="left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开展范围：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针对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2019年和静县财政专项扶贫资金项目。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对象：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巴音布鲁克镇赛罕陶海村村、巴润哈尔莫敦镇村委会及收益贫困户。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时间：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2019年12月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采用查阅相关扶贫档案资料，实地查看项目建设情况等方式，针对扶贫资金使用情况、绩效目标完成情况，群众满意度等方式开展自评。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三、绩效目标自评完成情况分析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(一）资金投入情况分析。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1.项目资金到位情况分析。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ascii="仿宋_GB2312" w:hAnsi="仿宋_GB2312" w:eastAsia="仿宋_GB2312"/>
          <w:color w:val="000000"/>
          <w:sz w:val="32"/>
          <w:szCs w:val="32"/>
        </w:rPr>
        <w:t>资金来源为</w:t>
      </w:r>
      <w:r>
        <w:rPr>
          <w:rFonts w:hint="eastAsia" w:ascii="仿宋_GB2312" w:hAnsi="仿宋_GB2312" w:eastAsia="仿宋_GB2312"/>
          <w:color w:val="000000"/>
          <w:sz w:val="32"/>
          <w:szCs w:val="32"/>
          <w:lang w:eastAsia="zh-CN"/>
        </w:rPr>
        <w:t>中央新增</w:t>
      </w:r>
      <w:r>
        <w:rPr>
          <w:rFonts w:ascii="仿宋_GB2312" w:hAnsi="仿宋_GB2312" w:eastAsia="仿宋_GB2312"/>
          <w:color w:val="000000"/>
          <w:sz w:val="32"/>
          <w:szCs w:val="32"/>
        </w:rPr>
        <w:t>财政专项扶贫资金，资金到位率100%。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项目资金执行情况分析。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2019年本项目实际支出金额319.1万元，资金执行率为100%。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1）项目资金根据《新疆维吾尔自治区财政专项扶贫资金（扶贫发展）项目管理办法（暂行）的通知》（新扶贫领字[2017] 39号）、《新疆维吾尔自治区财政专项扶贫资金管理办法》（新财扶[2017] 32号）、《新疆维吾尔自治区扶贫资金项目公示公告制度实施办法》（新扶贫领字[2018] 27号）等相关扶贫专项资金、扶贫项目管理办法执行，确保资金安全、项目发挥效益。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（2）根据自治区报账制管理办法的有关规定和要求，对2019年财政扶贫资金（发展资金）项目资金实施报账制。对于符合报账要求的，要及时拨付资金；对于不按要求实施报账的，坚决不予支付。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（3）强化绩效考核，严肃追责问责。按照中央和自治区相关政策、制度，管好、用好扶贫资金，不得浪费，更不能违法违规使用。对违法违规使用资金的，乡纪委将反馈至县纪律监委，进行追责问责。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(二）绩效目标完成情况分析。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1.产出指标完成情况分析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ascii="方正楷体_GBK" w:hAnsi="方正楷体_GBK" w:eastAsia="方正楷体_GBK" w:cs="方正楷体_GBK"/>
          <w:sz w:val="32"/>
          <w:szCs w:val="32"/>
        </w:rPr>
        <w:t>（1）数量指标完成情况</w:t>
      </w:r>
    </w:p>
    <w:p>
      <w:pPr>
        <w:spacing w:line="54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项目绩效目标申报设定数量指标为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color w:val="000000"/>
          <w:sz w:val="32"/>
          <w:szCs w:val="32"/>
        </w:rPr>
        <w:t>个</w:t>
      </w:r>
    </w:p>
    <w:p>
      <w:pPr>
        <w:spacing w:line="540" w:lineRule="exact"/>
        <w:ind w:firstLine="640" w:firstLineChars="200"/>
        <w:jc w:val="left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数量指标的实际完成情况是：入股合作社或公司的资金金额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，资产入股贫困人口总数，购买观光车数量。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通过对比，可以得知本项目的预期值与实际完成值之间完全相符，本年度的数量指标全部圆满完成，数量指标完成率为100%。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ascii="方正楷体_GBK" w:hAnsi="方正楷体_GBK" w:eastAsia="方正楷体_GBK" w:cs="方正楷体_GBK"/>
          <w:sz w:val="32"/>
          <w:szCs w:val="32"/>
        </w:rPr>
        <w:t>（2）质量指标完成情况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项目绩效目标申报设定质量指标为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color w:val="000000"/>
          <w:sz w:val="32"/>
          <w:szCs w:val="32"/>
        </w:rPr>
        <w:t>个，指标分别项目验收合格率为100%。</w:t>
      </w:r>
    </w:p>
    <w:p>
      <w:pPr>
        <w:spacing w:line="54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通过项目申报与实际完成质量指标对比，可以得知本项目的预期值与实际完成值之间完全相符，本年度的质量指标全部圆满完成，质量指标完成率为100%。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ascii="方正楷体_GBK" w:hAnsi="方正楷体_GBK" w:eastAsia="方正楷体_GBK" w:cs="方正楷体_GBK"/>
          <w:sz w:val="32"/>
          <w:szCs w:val="32"/>
        </w:rPr>
        <w:t>（3）时效指标完成情况</w:t>
      </w:r>
    </w:p>
    <w:p>
      <w:pPr>
        <w:spacing w:line="54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按项目绩效目标申报设定项目开始时间2019年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color w:val="000000"/>
          <w:sz w:val="32"/>
          <w:szCs w:val="32"/>
        </w:rPr>
        <w:t>月，结束时间2019年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color w:val="000000"/>
          <w:sz w:val="32"/>
          <w:szCs w:val="32"/>
        </w:rPr>
        <w:t>月，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项目完成及时率为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100%，</w:t>
      </w:r>
      <w:r>
        <w:rPr>
          <w:rFonts w:hint="eastAsia" w:ascii="仿宋_GB2312" w:eastAsia="仿宋_GB2312"/>
          <w:color w:val="000000"/>
          <w:sz w:val="32"/>
          <w:szCs w:val="32"/>
        </w:rPr>
        <w:t>符合绩效目标申报设定的时间，并且按照《新疆维吾尔自治区财政专项扶贫资金（扶贫发展）项目管理办法（暂行）的通知》（新扶贫领字[2017] 39号）、《新疆维吾尔自治区财政专项扶贫资金管理办法》（新财扶[2017] 32号）要求，补贴资金兑付及时放率为100%，时效指标完成率为100%。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ascii="方正楷体_GBK" w:hAnsi="方正楷体_GBK" w:eastAsia="方正楷体_GBK" w:cs="方正楷体_GBK"/>
          <w:sz w:val="32"/>
          <w:szCs w:val="32"/>
        </w:rPr>
        <w:t>（4）成本指标完成情况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购买每辆观光车补助标准为、16.8万元/个，入股总金额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235.1万元，</w:t>
      </w:r>
      <w:r>
        <w:rPr>
          <w:rFonts w:ascii="仿宋" w:hAnsi="仿宋" w:eastAsia="仿宋" w:cs="仿宋"/>
          <w:sz w:val="32"/>
          <w:szCs w:val="32"/>
        </w:rPr>
        <w:t>成本控制没有超出项目设定的预算金额，说明本项目的预算方法正确、结果合理可靠。本项成本指标全部完成，成本指标完成率为100%。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2.效益指标完成情况分析。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（1）项目实施的社会效益分析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项目绩效目标申报设定社会效益指标为2个，指标分别为受益建档立卡贫困户数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156</w:t>
      </w:r>
      <w:r>
        <w:rPr>
          <w:rFonts w:hint="eastAsia" w:ascii="仿宋" w:hAnsi="仿宋" w:eastAsia="仿宋" w:cs="仿宋"/>
          <w:sz w:val="32"/>
          <w:szCs w:val="32"/>
        </w:rPr>
        <w:t>户、受益建档立卡贫困人口数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266</w:t>
      </w:r>
      <w:r>
        <w:rPr>
          <w:rFonts w:hint="eastAsia" w:ascii="仿宋" w:hAnsi="仿宋" w:eastAsia="仿宋" w:cs="仿宋"/>
          <w:sz w:val="32"/>
          <w:szCs w:val="32"/>
        </w:rPr>
        <w:t>人。</w:t>
      </w:r>
      <w:r>
        <w:rPr>
          <w:rFonts w:ascii="仿宋" w:hAnsi="仿宋" w:eastAsia="仿宋" w:cs="仿宋"/>
          <w:sz w:val="32"/>
          <w:szCs w:val="32"/>
        </w:rPr>
        <w:t>指标完成率为100%。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（2）项目实施的可持续影响分析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按项目绩效目标申报设定的1项指标，项目增收年限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年。</w:t>
      </w:r>
      <w:r>
        <w:rPr>
          <w:rFonts w:ascii="仿宋" w:hAnsi="仿宋" w:eastAsia="仿宋" w:cs="仿宋"/>
          <w:sz w:val="32"/>
          <w:szCs w:val="32"/>
        </w:rPr>
        <w:t>指标完成率为100%。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（3）项目经济效益指标分析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按照项目绩效申报设定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个指标，带动增加贫困人口全年总收入≥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33.71</w:t>
      </w:r>
      <w:r>
        <w:rPr>
          <w:rFonts w:hint="eastAsia" w:ascii="仿宋" w:hAnsi="仿宋" w:eastAsia="仿宋" w:cs="仿宋"/>
          <w:sz w:val="32"/>
          <w:szCs w:val="32"/>
        </w:rPr>
        <w:t>万元,资产股权年收益率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10%，</w:t>
      </w:r>
      <w:r>
        <w:rPr>
          <w:rFonts w:ascii="仿宋" w:hAnsi="仿宋" w:eastAsia="仿宋" w:cs="仿宋"/>
          <w:sz w:val="32"/>
          <w:szCs w:val="32"/>
        </w:rPr>
        <w:t>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未</w:t>
      </w:r>
      <w:r>
        <w:rPr>
          <w:rFonts w:ascii="仿宋" w:hAnsi="仿宋" w:eastAsia="仿宋" w:cs="仿宋"/>
          <w:sz w:val="32"/>
          <w:szCs w:val="32"/>
        </w:rPr>
        <w:t>完成，指标完成率为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3.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满意度指标完成情况分析。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该项目的实施，受益贫困人口满意度在95%以上，</w:t>
      </w:r>
      <w:r>
        <w:rPr>
          <w:rFonts w:hint="eastAsia" w:ascii="仿宋" w:hAnsi="仿宋" w:eastAsia="仿宋" w:cs="仿宋"/>
          <w:sz w:val="32"/>
          <w:szCs w:val="32"/>
        </w:rPr>
        <w:t>项目区群众满意度在90%以上，</w:t>
      </w:r>
      <w:r>
        <w:rPr>
          <w:rFonts w:ascii="仿宋" w:hAnsi="仿宋" w:eastAsia="仿宋" w:cs="仿宋"/>
          <w:sz w:val="32"/>
          <w:szCs w:val="32"/>
        </w:rPr>
        <w:t>项目的实施得到了当地贫困户的一致好评，通过问卷调查、电话走访、入户走访等调查方式，按计划完成项目实施，指标完成率为</w:t>
      </w:r>
      <w:r>
        <w:rPr>
          <w:rFonts w:hint="eastAsia" w:ascii="仿宋" w:hAnsi="仿宋" w:eastAsia="仿宋" w:cs="仿宋"/>
          <w:sz w:val="32"/>
          <w:szCs w:val="32"/>
        </w:rPr>
        <w:t>100</w:t>
      </w:r>
      <w:r>
        <w:rPr>
          <w:rFonts w:ascii="仿宋" w:hAnsi="仿宋" w:eastAsia="仿宋" w:cs="仿宋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leftChars="151"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经济效益指标偏离原因：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本年度为项目建设期，资产收益周期不足，待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正常运营1年后，可以实现带动增加贫困人口全年总收入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leftChars="151" w:right="0" w:rightChars="0" w:firstLine="640" w:firstLineChars="200"/>
        <w:jc w:val="both"/>
        <w:textAlignment w:val="auto"/>
        <w:outlineLvl w:val="9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一是</w:t>
      </w:r>
      <w:r>
        <w:rPr>
          <w:rFonts w:hint="eastAsia" w:ascii="仿宋" w:hAnsi="仿宋" w:eastAsia="仿宋" w:cs="仿宋"/>
          <w:sz w:val="32"/>
          <w:szCs w:val="32"/>
        </w:rPr>
        <w:t>针对该项目实施实际情况，后期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县、</w:t>
      </w:r>
      <w:r>
        <w:rPr>
          <w:rFonts w:hint="eastAsia" w:ascii="仿宋" w:hAnsi="仿宋" w:eastAsia="仿宋" w:cs="仿宋"/>
          <w:sz w:val="32"/>
          <w:szCs w:val="32"/>
        </w:rPr>
        <w:t>镇、村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sz w:val="32"/>
          <w:szCs w:val="32"/>
        </w:rPr>
        <w:t>级不定期对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该</w:t>
      </w:r>
      <w:r>
        <w:rPr>
          <w:rFonts w:hint="eastAsia" w:ascii="仿宋" w:hAnsi="仿宋" w:eastAsia="仿宋" w:cs="仿宋"/>
          <w:sz w:val="32"/>
          <w:szCs w:val="32"/>
        </w:rPr>
        <w:t>进行走访查看，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加强项目后期管理，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研究制定可实现的经济效益</w:t>
      </w:r>
      <w:r>
        <w:rPr>
          <w:rFonts w:hint="eastAsia" w:ascii="仿宋" w:hAnsi="仿宋" w:eastAsia="仿宋" w:cs="仿宋"/>
          <w:sz w:val="32"/>
          <w:szCs w:val="32"/>
        </w:rPr>
        <w:t>。有效提高贫困户的年收入及生活水平，确保贫困户的经济来源。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二是把握时间节点，加大建设力度保证当年实施的项目产生相应的经济效益，带贫、益贫的机制得到有效实现。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sz w:val="32"/>
          <w:szCs w:val="32"/>
        </w:rPr>
        <w:t>绩效自评结果拟应用和公开情况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（一）本项目涉及资金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319.1</w:t>
      </w:r>
      <w:r>
        <w:rPr>
          <w:rFonts w:ascii="仿宋" w:hAnsi="仿宋" w:eastAsia="仿宋" w:cs="仿宋"/>
          <w:sz w:val="32"/>
          <w:szCs w:val="32"/>
        </w:rPr>
        <w:t>万元，项目管理按照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ascii="仿宋" w:hAnsi="仿宋" w:eastAsia="仿宋" w:cs="仿宋"/>
          <w:sz w:val="32"/>
          <w:szCs w:val="32"/>
        </w:rPr>
        <w:t>建设的具体分工原则，由</w:t>
      </w:r>
      <w:r>
        <w:rPr>
          <w:rFonts w:hint="eastAsia" w:ascii="仿宋" w:hAnsi="仿宋" w:eastAsia="仿宋" w:cs="仿宋"/>
          <w:sz w:val="32"/>
          <w:szCs w:val="32"/>
        </w:rPr>
        <w:t>县</w:t>
      </w:r>
      <w:r>
        <w:rPr>
          <w:rFonts w:ascii="仿宋" w:hAnsi="仿宋" w:eastAsia="仿宋" w:cs="仿宋"/>
          <w:sz w:val="32"/>
          <w:szCs w:val="32"/>
        </w:rPr>
        <w:t>扶贫开发领导小组牵头，定期召开例会，不断对资金的拨付、项目的进展、发现的问题等进行集体讨论反馈，所有例会均有会议纪要。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（二）绩效评价按照科学规范、公开公正、分级分类、绩效相关原则，采用比较法、因素法、成本法、公众评判法等方法开展绩效评价。所有基础数据的采集、稽查和管理，资料来源和指标完成的情况都有与之相配套的批示文件和佐证材料，并且规定了各部门对数据的管理责任、绩效数据的采集流程、方法和规范、绩效数据稽查及奖惩等，对绩效数据作假行为严惩不贷，从而保证了绩效数据的真实、客观、有效。</w:t>
      </w:r>
    </w:p>
    <w:p>
      <w:pPr>
        <w:spacing w:line="560" w:lineRule="exact"/>
        <w:ind w:firstLine="640" w:firstLineChars="200"/>
        <w:rPr>
          <w:rFonts w:hint="eastAsia"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根据以上方法，对本项目进行了评价工作，所有数据和佐证材料均由相关领导审核签批，并整理归档，以备后查。</w:t>
      </w:r>
    </w:p>
    <w:p>
      <w:pPr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通过自评本项目的总分数为</w:t>
      </w:r>
      <w:r>
        <w:rPr>
          <w:rFonts w:hint="eastAsia" w:eastAsia="仿宋_GB2312"/>
          <w:bCs/>
          <w:color w:val="000000"/>
          <w:sz w:val="32"/>
          <w:szCs w:val="32"/>
          <w:lang w:val="en-US" w:eastAsia="zh-CN"/>
        </w:rPr>
        <w:t>93</w:t>
      </w:r>
      <w:r>
        <w:rPr>
          <w:rFonts w:hint="eastAsia" w:eastAsia="仿宋_GB2312"/>
          <w:bCs/>
          <w:color w:val="000000"/>
          <w:sz w:val="32"/>
          <w:szCs w:val="32"/>
        </w:rPr>
        <w:t>分</w:t>
      </w:r>
      <w:r>
        <w:rPr>
          <w:rFonts w:hint="eastAsia" w:eastAsia="仿宋_GB2312"/>
          <w:bCs/>
          <w:color w:val="000000"/>
          <w:sz w:val="32"/>
          <w:szCs w:val="32"/>
          <w:lang w:eastAsia="zh-CN"/>
        </w:rPr>
        <w:t>，部分达成预期指标并具有一定效果</w:t>
      </w:r>
      <w:r>
        <w:rPr>
          <w:rFonts w:hint="eastAsia" w:eastAsia="仿宋_GB2312"/>
          <w:bCs/>
          <w:color w:val="000000"/>
          <w:sz w:val="32"/>
          <w:szCs w:val="32"/>
        </w:rPr>
        <w:t>。</w:t>
      </w:r>
    </w:p>
    <w:p>
      <w:pPr>
        <w:spacing w:line="54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43434"/>
          <w:spacing w:val="0"/>
          <w:sz w:val="32"/>
          <w:szCs w:val="32"/>
          <w:lang w:val="en-US" w:eastAsia="zh-CN"/>
        </w:rPr>
        <w:t>2019年的扶贫项目做到了项目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43434"/>
          <w:spacing w:val="0"/>
          <w:sz w:val="32"/>
          <w:szCs w:val="32"/>
          <w:lang w:val="en-US" w:eastAsia="zh-CN"/>
        </w:rPr>
        <w:t>实施的事前、事中、事后的公示公开，也做到了绩效自评在县政府网、乡村公示栏的公示公开。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??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modern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swiss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decorative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roman"/>
    <w:pitch w:val="default"/>
    <w:sig w:usb0="900002AF" w:usb1="01D77CFB" w:usb2="00000012" w:usb3="00000000" w:csb0="0008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Microsoft YaHei UI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modern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??">
    <w:altName w:val="Times New Roman"/>
    <w:panose1 w:val="00000000000000000000"/>
    <w:charset w:val="50"/>
    <w:family w:val="auto"/>
    <w:pitch w:val="default"/>
    <w:sig w:usb0="00000000" w:usb1="00000000" w:usb2="00000000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A26"/>
    <w:rsid w:val="003E0379"/>
    <w:rsid w:val="0055176E"/>
    <w:rsid w:val="00E77B2D"/>
    <w:rsid w:val="00F20A26"/>
    <w:rsid w:val="014A5170"/>
    <w:rsid w:val="08CF46F5"/>
    <w:rsid w:val="0A202DD3"/>
    <w:rsid w:val="11BC3419"/>
    <w:rsid w:val="19724F6A"/>
    <w:rsid w:val="1BE40EBF"/>
    <w:rsid w:val="26D96702"/>
    <w:rsid w:val="2C087927"/>
    <w:rsid w:val="2C897CE3"/>
    <w:rsid w:val="32D87191"/>
    <w:rsid w:val="3D942D54"/>
    <w:rsid w:val="3E2F390D"/>
    <w:rsid w:val="424C5F7F"/>
    <w:rsid w:val="49765BD3"/>
    <w:rsid w:val="4AA12435"/>
    <w:rsid w:val="52C45562"/>
    <w:rsid w:val="53C42FE8"/>
    <w:rsid w:val="56B910E0"/>
    <w:rsid w:val="62627937"/>
    <w:rsid w:val="699342D7"/>
    <w:rsid w:val="69976FE7"/>
    <w:rsid w:val="70EE3DB2"/>
    <w:rsid w:val="734F2EF6"/>
    <w:rsid w:val="7B8B6549"/>
    <w:rsid w:val="7D90282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unhideWhenUsed/>
    <w:qFormat/>
    <w:uiPriority w:val="99"/>
    <w:pPr>
      <w:spacing w:line="312" w:lineRule="auto"/>
      <w:ind w:firstLine="420"/>
    </w:pPr>
    <w:rPr>
      <w:rFonts w:ascii="??" w:eastAsia="Times New Roman"/>
      <w:bCs/>
      <w:sz w:val="24"/>
    </w:rPr>
  </w:style>
  <w:style w:type="character" w:styleId="6">
    <w:name w:val="Strong"/>
    <w:basedOn w:val="5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301</Characters>
  <Lines>2</Lines>
  <Paragraphs>1</Paragraphs>
  <ScaleCrop>false</ScaleCrop>
  <LinksUpToDate>false</LinksUpToDate>
  <CharactersWithSpaces>352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2019-10-08T05:02:00Z</dcterms:created>
  <dc:creator>姜波</dc:creator>
  <cp:lastModifiedBy>Administrator</cp:lastModifiedBy>
  <dcterms:modified xsi:type="dcterms:W3CDTF">2020-05-01T10:44:51Z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