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和静县2019</w:t>
      </w: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年财政专项扶贫资金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（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第二批资产收益项目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）</w:t>
      </w: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绩效自评总结报告</w:t>
      </w:r>
    </w:p>
    <w:p>
      <w:pPr>
        <w:pStyle w:val="2"/>
        <w:keepNext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hint="eastAsia"/>
          <w:b w:val="0"/>
          <w:bCs w:val="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一、绩效目标分解下达情况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1.财政专项扶贫资金下达预算及项目情况。</w:t>
      </w:r>
    </w:p>
    <w:p>
      <w:pPr>
        <w:spacing w:line="560" w:lineRule="exact"/>
        <w:ind w:firstLine="720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2019年和静第二批资产收益项目39万元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财政专项扶贫资金项目绩效目标设定情况。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24" w:firstLineChars="200"/>
        <w:jc w:val="left"/>
        <w:textAlignment w:val="auto"/>
        <w:outlineLvl w:val="9"/>
        <w:rPr>
          <w:rStyle w:val="6"/>
          <w:rFonts w:hint="eastAsia" w:ascii="仿宋" w:hAnsi="仿宋" w:eastAsia="仿宋"/>
          <w:b w:val="0"/>
          <w:spacing w:val="-4"/>
          <w:sz w:val="32"/>
          <w:szCs w:val="32"/>
        </w:rPr>
      </w:pPr>
      <w:r>
        <w:rPr>
          <w:rStyle w:val="6"/>
          <w:rFonts w:hint="eastAsia" w:ascii="仿宋" w:hAnsi="仿宋" w:eastAsia="仿宋"/>
          <w:b w:val="0"/>
          <w:spacing w:val="-4"/>
          <w:sz w:val="32"/>
          <w:szCs w:val="32"/>
        </w:rPr>
        <w:t>目标1：阿拉沟乡乌拉斯台查汗村修建野生蘑菇生产车间，购买蘑菇菌料粉碎机1台、野生蘑菇烘干箱2台、打包机1台、真空包装机1台、冰柜2台、保鲜柜1台、修建100平方米晾晒房。巴润哈尔莫敦镇建设大棚500平方米钢架立柱大棚三座，由合作社经营，将入股的贫困户全部加入该合作社成为社员，按照10%比例进行分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24" w:firstLineChars="200"/>
        <w:jc w:val="left"/>
        <w:textAlignment w:val="auto"/>
        <w:outlineLvl w:val="9"/>
        <w:rPr>
          <w:rStyle w:val="6"/>
          <w:rFonts w:hint="eastAsia" w:ascii="仿宋" w:hAnsi="仿宋" w:eastAsia="仿宋"/>
          <w:b w:val="0"/>
          <w:spacing w:val="-4"/>
          <w:sz w:val="32"/>
          <w:szCs w:val="32"/>
        </w:rPr>
      </w:pPr>
      <w:r>
        <w:rPr>
          <w:rStyle w:val="6"/>
          <w:rFonts w:hint="eastAsia" w:ascii="仿宋" w:hAnsi="仿宋" w:eastAsia="仿宋"/>
          <w:b w:val="0"/>
          <w:spacing w:val="-4"/>
          <w:sz w:val="32"/>
          <w:szCs w:val="32"/>
        </w:rPr>
        <w:t xml:space="preserve">目标2：通过项目的实施可拓宽贫困户增收渠道，可以带动本村的二、三产发展，增强牧区贫困人口的“造血”功能，保障贫困户具有稳定增收的产业。项目的实施可使39户80名建档立卡贫困人口受益。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24" w:firstLineChars="200"/>
        <w:jc w:val="left"/>
        <w:textAlignment w:val="auto"/>
        <w:outlineLvl w:val="9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二、绩效自评工作开展情况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开展范围：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针对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2019年和静县财政专项扶贫资金项目。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对象：</w:t>
      </w:r>
      <w:r>
        <w:rPr>
          <w:rStyle w:val="6"/>
          <w:rFonts w:hint="eastAsia" w:ascii="仿宋" w:hAnsi="仿宋" w:eastAsia="仿宋"/>
          <w:b w:val="0"/>
          <w:spacing w:val="-4"/>
          <w:sz w:val="32"/>
          <w:szCs w:val="32"/>
        </w:rPr>
        <w:t>阿拉沟乡乌拉斯台查汗村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、巴润哈尔莫敦镇阿尔孜尕尔村及收益贫困户。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时间：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2019年12月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方式：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采用查阅相关扶贫档案资料，实地查看项目建设情况等方式，针对扶贫资金使用情况、绩效目标完成情况，群众满意度等方式开展自评。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三、绩效目标自评完成情况分析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(一）资金投入情况分析。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楷体_GBK" w:hAnsi="方正楷体_GBK" w:eastAsia="方正楷体_GBK" w:cs="方正楷体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</w:rPr>
        <w:t>1.项目资金到位情况分析。</w:t>
      </w:r>
    </w:p>
    <w:p>
      <w:pPr>
        <w:spacing w:line="540" w:lineRule="exact"/>
        <w:ind w:firstLine="640" w:firstLineChars="200"/>
        <w:jc w:val="left"/>
        <w:rPr>
          <w:rFonts w:ascii="仿宋_GB2312" w:hAnsi="Times New Roman" w:eastAsia="Times New Roman"/>
          <w:color w:val="000000"/>
          <w:sz w:val="32"/>
          <w:szCs w:val="32"/>
        </w:rPr>
      </w:pPr>
      <w:r>
        <w:rPr>
          <w:rFonts w:ascii="仿宋_GB2312" w:hAnsi="仿宋_GB2312" w:eastAsia="仿宋_GB2312"/>
          <w:color w:val="000000"/>
          <w:sz w:val="32"/>
          <w:szCs w:val="32"/>
        </w:rPr>
        <w:t>资金来源为</w:t>
      </w:r>
      <w:r>
        <w:rPr>
          <w:rFonts w:hint="eastAsia" w:ascii="仿宋_GB2312" w:hAnsi="仿宋_GB2312" w:eastAsia="仿宋_GB2312"/>
          <w:color w:val="000000"/>
          <w:sz w:val="32"/>
          <w:szCs w:val="32"/>
          <w:lang w:eastAsia="zh-CN"/>
        </w:rPr>
        <w:t>自治区</w:t>
      </w:r>
      <w:r>
        <w:rPr>
          <w:rFonts w:ascii="仿宋_GB2312" w:hAnsi="仿宋_GB2312" w:eastAsia="仿宋_GB2312"/>
          <w:color w:val="000000"/>
          <w:sz w:val="32"/>
          <w:szCs w:val="32"/>
        </w:rPr>
        <w:t>财政专项扶贫资金，资金到位率100%。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楷体_GBK" w:hAnsi="方正楷体_GBK" w:eastAsia="方正楷体_GBK" w:cs="方正楷体_GBK"/>
          <w:b w:val="0"/>
          <w:bCs w:val="0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z w:val="32"/>
          <w:szCs w:val="32"/>
          <w:lang w:val="en-US" w:eastAsia="zh-CN"/>
        </w:rPr>
        <w:t>2.</w:t>
      </w:r>
      <w:r>
        <w:rPr>
          <w:rFonts w:hint="eastAsia" w:ascii="方正楷体_GBK" w:hAnsi="方正楷体_GBK" w:eastAsia="方正楷体_GBK" w:cs="方正楷体_GBK"/>
          <w:b w:val="0"/>
          <w:bCs w:val="0"/>
          <w:sz w:val="32"/>
          <w:szCs w:val="32"/>
        </w:rPr>
        <w:t>项目资金执行情况分析。</w:t>
      </w:r>
    </w:p>
    <w:p>
      <w:pPr>
        <w:ind w:firstLine="640" w:firstLineChars="200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2019年本项目实际支出金额39万元，资金执行率为100%。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楷体_GBK" w:hAnsi="方正楷体_GBK" w:eastAsia="方正楷体_GBK" w:cs="方正楷体_GBK"/>
          <w:b w:val="0"/>
          <w:bCs w:val="0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z w:val="32"/>
          <w:szCs w:val="32"/>
          <w:lang w:val="en-US" w:eastAsia="zh-CN"/>
        </w:rPr>
        <w:t>3.</w:t>
      </w:r>
      <w:r>
        <w:rPr>
          <w:rFonts w:hint="eastAsia" w:ascii="方正楷体_GBK" w:hAnsi="方正楷体_GBK" w:eastAsia="方正楷体_GBK" w:cs="方正楷体_GBK"/>
          <w:b w:val="0"/>
          <w:bCs w:val="0"/>
          <w:sz w:val="32"/>
          <w:szCs w:val="32"/>
        </w:rPr>
        <w:t>项目资金管理情况分析。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</w:rPr>
        <w:t>1）项目资金根据《新疆维吾尔自治区财政专项扶贫资金（扶贫发展）项目管理办法（暂行）的通知》（新扶贫领字[2017] 39号）、《新疆维吾尔自治区财政专项扶贫资金管理办法》（新财扶[2017] 32号）、《新疆维吾尔自治区扶贫资金项目公示公告制度实施办法》（新扶贫领字[2018] 27号）等相关扶贫专项资金、扶贫项目管理办法执行，确保资金安全、项目发挥效益。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（2）根据自治区报账制管理办法的有关规定和要求，对2019年财政扶贫资金（发展资金）项目资金实施报账制。对于符合报账要求的，要及时拨付资金；对于不按要求实施报账的，坚决不予支付。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（3）强化绩效考核，严肃追责问责。按照中央和自治区相关政策、制度，管好、用好扶贫资金，不得浪费，更不能违法违规使用。对违法违规使用资金的，乡纪委将反馈至县纪律监委，进行追责问责。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(二）绩效目标完成情况分析。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1.产出指标完成情况分析</w:t>
      </w:r>
    </w:p>
    <w:p>
      <w:pPr>
        <w:spacing w:line="540" w:lineRule="exact"/>
        <w:ind w:firstLine="640" w:firstLineChars="200"/>
        <w:rPr>
          <w:rFonts w:ascii="方正楷体_GBK" w:hAnsi="方正楷体_GBK" w:eastAsia="方正楷体_GBK" w:cs="方正楷体_GBK"/>
          <w:sz w:val="32"/>
          <w:szCs w:val="32"/>
        </w:rPr>
      </w:pPr>
      <w:r>
        <w:rPr>
          <w:rFonts w:ascii="方正楷体_GBK" w:hAnsi="方正楷体_GBK" w:eastAsia="方正楷体_GBK" w:cs="方正楷体_GBK"/>
          <w:sz w:val="32"/>
          <w:szCs w:val="32"/>
        </w:rPr>
        <w:t>（1）数量指标完成情况</w:t>
      </w:r>
    </w:p>
    <w:p>
      <w:pPr>
        <w:spacing w:line="540" w:lineRule="exact"/>
        <w:ind w:firstLine="640" w:firstLineChars="200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项目绩效目标申报设定数量指标为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/>
          <w:color w:val="000000"/>
          <w:sz w:val="32"/>
          <w:szCs w:val="32"/>
        </w:rPr>
        <w:t>个</w:t>
      </w:r>
    </w:p>
    <w:p>
      <w:pPr>
        <w:spacing w:line="540" w:lineRule="exact"/>
        <w:ind w:firstLine="640" w:firstLineChars="200"/>
        <w:jc w:val="left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通过对比，可以得知本项目的预期值与实际完成值之间完全相符，本年度的数量指标全部圆满完成，数量指标完成率为100%。</w:t>
      </w:r>
    </w:p>
    <w:p>
      <w:pPr>
        <w:spacing w:line="540" w:lineRule="exact"/>
        <w:ind w:firstLine="640" w:firstLineChars="200"/>
        <w:rPr>
          <w:rFonts w:ascii="方正楷体_GBK" w:hAnsi="方正楷体_GBK" w:eastAsia="方正楷体_GBK" w:cs="方正楷体_GBK"/>
          <w:sz w:val="32"/>
          <w:szCs w:val="32"/>
        </w:rPr>
      </w:pPr>
      <w:r>
        <w:rPr>
          <w:rFonts w:ascii="方正楷体_GBK" w:hAnsi="方正楷体_GBK" w:eastAsia="方正楷体_GBK" w:cs="方正楷体_GBK"/>
          <w:sz w:val="32"/>
          <w:szCs w:val="32"/>
        </w:rPr>
        <w:t>（2）质量指标完成情况</w:t>
      </w:r>
    </w:p>
    <w:p>
      <w:pPr>
        <w:spacing w:line="540" w:lineRule="exact"/>
        <w:ind w:firstLine="640" w:firstLineChars="200"/>
        <w:jc w:val="left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项目绩效目标申报设定质量指标为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color w:val="000000"/>
          <w:sz w:val="32"/>
          <w:szCs w:val="32"/>
        </w:rPr>
        <w:t>个。</w:t>
      </w:r>
    </w:p>
    <w:p>
      <w:pPr>
        <w:spacing w:line="540" w:lineRule="exact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通过项目申报与实际完成质量指标对比，可以得知本项目的预期值与实际完成值之间完全相符，本年度的质量指标全部圆满完成，质量指标完成率为100%。</w:t>
      </w:r>
    </w:p>
    <w:p>
      <w:pPr>
        <w:spacing w:line="540" w:lineRule="exact"/>
        <w:ind w:firstLine="640" w:firstLineChars="200"/>
        <w:rPr>
          <w:rFonts w:ascii="方正楷体_GBK" w:hAnsi="方正楷体_GBK" w:eastAsia="方正楷体_GBK" w:cs="方正楷体_GBK"/>
          <w:sz w:val="32"/>
          <w:szCs w:val="32"/>
        </w:rPr>
      </w:pPr>
      <w:r>
        <w:rPr>
          <w:rFonts w:ascii="方正楷体_GBK" w:hAnsi="方正楷体_GBK" w:eastAsia="方正楷体_GBK" w:cs="方正楷体_GBK"/>
          <w:sz w:val="32"/>
          <w:szCs w:val="32"/>
        </w:rPr>
        <w:t>（3）时效指标完成情况</w:t>
      </w:r>
    </w:p>
    <w:p>
      <w:pPr>
        <w:spacing w:line="540" w:lineRule="exact"/>
        <w:ind w:firstLine="640" w:firstLineChars="200"/>
        <w:jc w:val="left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项目绩效目标申报设定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时效</w:t>
      </w:r>
      <w:r>
        <w:rPr>
          <w:rFonts w:hint="eastAsia" w:ascii="仿宋_GB2312" w:eastAsia="仿宋_GB2312"/>
          <w:color w:val="000000"/>
          <w:sz w:val="32"/>
          <w:szCs w:val="32"/>
        </w:rPr>
        <w:t>指标为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/>
          <w:color w:val="000000"/>
          <w:sz w:val="32"/>
          <w:szCs w:val="32"/>
        </w:rPr>
        <w:t>个。</w:t>
      </w:r>
    </w:p>
    <w:p>
      <w:pPr>
        <w:spacing w:line="540" w:lineRule="exact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按项目绩效目标申报设定项目开始时间2019年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color w:val="000000"/>
          <w:sz w:val="32"/>
          <w:szCs w:val="32"/>
        </w:rPr>
        <w:t>月，结束时间2019年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11</w:t>
      </w:r>
      <w:r>
        <w:rPr>
          <w:rFonts w:hint="eastAsia" w:ascii="仿宋_GB2312" w:eastAsia="仿宋_GB2312"/>
          <w:color w:val="000000"/>
          <w:sz w:val="32"/>
          <w:szCs w:val="32"/>
        </w:rPr>
        <w:t>月，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项目完成及时率为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100%，</w:t>
      </w:r>
      <w:r>
        <w:rPr>
          <w:rFonts w:hint="eastAsia" w:ascii="仿宋_GB2312" w:eastAsia="仿宋_GB2312"/>
          <w:color w:val="000000"/>
          <w:sz w:val="32"/>
          <w:szCs w:val="32"/>
        </w:rPr>
        <w:t>符合绩效目标申报设定的时间，并且按照《新疆维吾尔自治区财政专项扶贫资金（扶贫发展）项目管理办法（暂行）的通知》（新扶贫领字[2017] 39号）、《新疆维吾尔自治区财政专项扶贫资金管理办法》（新财扶[2017] 32号）要求，补贴资金兑付及时放率为100%，时效指标完成率为100%。</w:t>
      </w:r>
    </w:p>
    <w:p>
      <w:pPr>
        <w:spacing w:line="540" w:lineRule="exact"/>
        <w:ind w:firstLine="640" w:firstLineChars="200"/>
        <w:rPr>
          <w:rFonts w:ascii="方正楷体_GBK" w:hAnsi="方正楷体_GBK" w:eastAsia="方正楷体_GBK" w:cs="方正楷体_GBK"/>
          <w:sz w:val="32"/>
          <w:szCs w:val="32"/>
        </w:rPr>
      </w:pPr>
      <w:r>
        <w:rPr>
          <w:rFonts w:ascii="方正楷体_GBK" w:hAnsi="方正楷体_GBK" w:eastAsia="方正楷体_GBK" w:cs="方正楷体_GBK"/>
          <w:sz w:val="32"/>
          <w:szCs w:val="32"/>
        </w:rPr>
        <w:t>（4）成本指标完成情况</w:t>
      </w:r>
    </w:p>
    <w:p>
      <w:pPr>
        <w:spacing w:line="540" w:lineRule="exact"/>
        <w:ind w:firstLine="640" w:firstLineChars="200"/>
        <w:jc w:val="left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项目绩效目标申报设定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成本指标</w:t>
      </w:r>
      <w:r>
        <w:rPr>
          <w:rFonts w:hint="eastAsia" w:ascii="仿宋_GB2312" w:eastAsia="仿宋_GB2312"/>
          <w:color w:val="000000"/>
          <w:sz w:val="32"/>
          <w:szCs w:val="32"/>
        </w:rPr>
        <w:t>指为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/>
          <w:color w:val="000000"/>
          <w:sz w:val="32"/>
          <w:szCs w:val="32"/>
        </w:rPr>
        <w:t>个。</w:t>
      </w:r>
    </w:p>
    <w:p>
      <w:pPr>
        <w:spacing w:line="54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本项成本指标全部完成，成本指标完成率为100%。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楷体_GBK" w:hAnsi="方正楷体_GBK" w:eastAsia="方正楷体_GBK" w:cs="方正楷体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</w:rPr>
        <w:t>2.效益指标完成情况分析。</w:t>
      </w:r>
    </w:p>
    <w:p>
      <w:pPr>
        <w:spacing w:line="54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</w:rPr>
        <w:t>（1）项目实施的社会效益分析</w:t>
      </w:r>
    </w:p>
    <w:p>
      <w:pPr>
        <w:spacing w:line="54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项目绩效目标申报设定社会效益指标为2个，指标分别为受益建档立卡贫困户数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39</w:t>
      </w:r>
      <w:r>
        <w:rPr>
          <w:rFonts w:hint="eastAsia" w:ascii="仿宋" w:hAnsi="仿宋" w:eastAsia="仿宋" w:cs="仿宋"/>
          <w:sz w:val="32"/>
          <w:szCs w:val="32"/>
        </w:rPr>
        <w:t>户、受益建档立卡贫困人口数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80个</w:t>
      </w:r>
      <w:r>
        <w:rPr>
          <w:rFonts w:hint="eastAsia" w:ascii="仿宋" w:hAnsi="仿宋" w:eastAsia="仿宋" w:cs="仿宋"/>
          <w:sz w:val="32"/>
          <w:szCs w:val="32"/>
        </w:rPr>
        <w:t>人。</w:t>
      </w:r>
      <w:r>
        <w:rPr>
          <w:rFonts w:ascii="仿宋" w:hAnsi="仿宋" w:eastAsia="仿宋" w:cs="仿宋"/>
          <w:sz w:val="32"/>
          <w:szCs w:val="32"/>
        </w:rPr>
        <w:t>指标完成率为100%。</w:t>
      </w:r>
    </w:p>
    <w:p>
      <w:pPr>
        <w:spacing w:line="540" w:lineRule="exact"/>
        <w:ind w:firstLine="640" w:firstLineChars="200"/>
        <w:rPr>
          <w:rFonts w:ascii="方正楷体_GBK" w:hAnsi="方正楷体_GBK" w:eastAsia="方正楷体_GBK" w:cs="方正楷体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</w:rPr>
        <w:t>（2）项目实施的可持续影响分析</w:t>
      </w:r>
    </w:p>
    <w:p>
      <w:pPr>
        <w:spacing w:line="54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按项目绩效目标申报设定的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</w:rPr>
        <w:t>项指标，</w:t>
      </w:r>
      <w:r>
        <w:rPr>
          <w:rFonts w:ascii="仿宋" w:hAnsi="仿宋" w:eastAsia="仿宋" w:cs="仿宋"/>
          <w:sz w:val="32"/>
          <w:szCs w:val="32"/>
        </w:rPr>
        <w:t>指标完成率为100%。</w:t>
      </w:r>
    </w:p>
    <w:p>
      <w:pPr>
        <w:spacing w:line="540" w:lineRule="exact"/>
        <w:ind w:firstLine="640" w:firstLineChars="200"/>
        <w:rPr>
          <w:rFonts w:ascii="方正楷体_GBK" w:hAnsi="方正楷体_GBK" w:eastAsia="方正楷体_GBK" w:cs="方正楷体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</w:rPr>
        <w:t>（3）项目经济效益指标分析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按照项目绩效申报设定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个指标，带动增加贫困人口全年总收入≥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4.3</w:t>
      </w:r>
      <w:r>
        <w:rPr>
          <w:rFonts w:hint="eastAsia" w:ascii="仿宋" w:hAnsi="仿宋" w:eastAsia="仿宋" w:cs="仿宋"/>
          <w:sz w:val="32"/>
          <w:szCs w:val="32"/>
        </w:rPr>
        <w:t>万元,资产股权年收益率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12%，</w:t>
      </w:r>
      <w:r>
        <w:rPr>
          <w:rFonts w:ascii="仿宋" w:hAnsi="仿宋" w:eastAsia="仿宋" w:cs="仿宋"/>
          <w:sz w:val="32"/>
          <w:szCs w:val="32"/>
        </w:rPr>
        <w:t>指标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未</w:t>
      </w:r>
      <w:r>
        <w:rPr>
          <w:rFonts w:ascii="仿宋" w:hAnsi="仿宋" w:eastAsia="仿宋" w:cs="仿宋"/>
          <w:sz w:val="32"/>
          <w:szCs w:val="32"/>
        </w:rPr>
        <w:t>完成，指标完成率为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</w:t>
      </w:r>
      <w:r>
        <w:rPr>
          <w:rFonts w:ascii="仿宋" w:hAnsi="仿宋" w:eastAsia="仿宋" w:cs="仿宋"/>
          <w:sz w:val="32"/>
          <w:szCs w:val="32"/>
        </w:rPr>
        <w:t>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楷体_GBK" w:hAnsi="方正楷体_GBK" w:eastAsia="方正楷体_GBK" w:cs="方正楷体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  <w:lang w:val="en-US" w:eastAsia="zh-CN"/>
        </w:rPr>
        <w:t>3.</w:t>
      </w:r>
      <w:r>
        <w:rPr>
          <w:rFonts w:hint="eastAsia" w:ascii="方正楷体_GBK" w:hAnsi="方正楷体_GBK" w:eastAsia="方正楷体_GBK" w:cs="方正楷体_GBK"/>
          <w:sz w:val="32"/>
          <w:szCs w:val="32"/>
        </w:rPr>
        <w:t>满意度指标完成情况分析。</w:t>
      </w:r>
    </w:p>
    <w:p>
      <w:pPr>
        <w:spacing w:line="54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该项目的实施，受益贫困人口满意度在95%以上，项目的实施得到了当地贫困户的一致好评，通过问卷调查、电话走访、入户走访等调查方式，按计划完成项目实施，指标完成率为</w:t>
      </w:r>
      <w:r>
        <w:rPr>
          <w:rFonts w:hint="eastAsia" w:ascii="仿宋" w:hAnsi="仿宋" w:eastAsia="仿宋" w:cs="仿宋"/>
          <w:sz w:val="32"/>
          <w:szCs w:val="32"/>
        </w:rPr>
        <w:t>100</w:t>
      </w:r>
      <w:r>
        <w:rPr>
          <w:rFonts w:ascii="仿宋" w:hAnsi="仿宋" w:eastAsia="仿宋" w:cs="仿宋"/>
          <w:sz w:val="32"/>
          <w:szCs w:val="32"/>
        </w:rPr>
        <w:t>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四、</w:t>
      </w:r>
      <w:r>
        <w:rPr>
          <w:rFonts w:hint="eastAsia" w:ascii="黑体" w:hAnsi="黑体" w:eastAsia="黑体" w:cs="黑体"/>
          <w:sz w:val="32"/>
          <w:szCs w:val="32"/>
        </w:rPr>
        <w:t>偏离绩效目标的原因和下一步改进措施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17" w:leftChars="151" w:right="0" w:rightChars="0" w:firstLine="640" w:firstLineChars="200"/>
        <w:jc w:val="both"/>
        <w:textAlignment w:val="auto"/>
        <w:outlineLvl w:val="9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经济效益指标偏离原因：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本年度为项目建设期，资产收益周期不足，待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正常运营1年后，可以实现带动增加贫困人口全年总收入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17" w:leftChars="151" w:right="0" w:rightChars="0" w:firstLine="640" w:firstLineChars="200"/>
        <w:jc w:val="both"/>
        <w:textAlignment w:val="auto"/>
        <w:outlineLvl w:val="9"/>
        <w:rPr>
          <w:rFonts w:hint="default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一是</w:t>
      </w:r>
      <w:r>
        <w:rPr>
          <w:rFonts w:hint="eastAsia" w:ascii="仿宋" w:hAnsi="仿宋" w:eastAsia="仿宋" w:cs="仿宋"/>
          <w:sz w:val="32"/>
          <w:szCs w:val="32"/>
        </w:rPr>
        <w:t>针对该项目实施实际情况，后期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县、</w:t>
      </w:r>
      <w:r>
        <w:rPr>
          <w:rFonts w:hint="eastAsia" w:ascii="仿宋" w:hAnsi="仿宋" w:eastAsia="仿宋" w:cs="仿宋"/>
          <w:sz w:val="32"/>
          <w:szCs w:val="32"/>
        </w:rPr>
        <w:t>镇、村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三</w:t>
      </w:r>
      <w:r>
        <w:rPr>
          <w:rFonts w:hint="eastAsia" w:ascii="仿宋" w:hAnsi="仿宋" w:eastAsia="仿宋" w:cs="仿宋"/>
          <w:sz w:val="32"/>
          <w:szCs w:val="32"/>
        </w:rPr>
        <w:t>级不定期对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该</w:t>
      </w:r>
      <w:r>
        <w:rPr>
          <w:rFonts w:hint="eastAsia" w:ascii="仿宋" w:hAnsi="仿宋" w:eastAsia="仿宋" w:cs="仿宋"/>
          <w:sz w:val="32"/>
          <w:szCs w:val="32"/>
        </w:rPr>
        <w:t>进行走访查看，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加强项目后期管理，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研究制定可实现的经济效益</w:t>
      </w:r>
      <w:r>
        <w:rPr>
          <w:rFonts w:hint="eastAsia" w:ascii="仿宋" w:hAnsi="仿宋" w:eastAsia="仿宋" w:cs="仿宋"/>
          <w:sz w:val="32"/>
          <w:szCs w:val="32"/>
        </w:rPr>
        <w:t>。有效提高贫困户的年收入及生活水平，确保贫困户的经济来源。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二是把握时间节点，加大建设力度保证当年实施的项目产生相应的经济效益，带贫、益贫的机制得到有效实现。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五、</w:t>
      </w:r>
      <w:r>
        <w:rPr>
          <w:rFonts w:hint="eastAsia" w:ascii="黑体" w:hAnsi="黑体" w:eastAsia="黑体" w:cs="黑体"/>
          <w:sz w:val="32"/>
          <w:szCs w:val="32"/>
        </w:rPr>
        <w:t>绩效自评结果拟应用和公开情况</w:t>
      </w:r>
    </w:p>
    <w:p>
      <w:pPr>
        <w:spacing w:line="54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（一）本项目涉及资金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39</w:t>
      </w:r>
      <w:r>
        <w:rPr>
          <w:rFonts w:ascii="仿宋" w:hAnsi="仿宋" w:eastAsia="仿宋" w:cs="仿宋"/>
          <w:sz w:val="32"/>
          <w:szCs w:val="32"/>
        </w:rPr>
        <w:t>万元，项目管理按照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项目</w:t>
      </w:r>
      <w:r>
        <w:rPr>
          <w:rFonts w:ascii="仿宋" w:hAnsi="仿宋" w:eastAsia="仿宋" w:cs="仿宋"/>
          <w:sz w:val="32"/>
          <w:szCs w:val="32"/>
        </w:rPr>
        <w:t>建设的具体分工原则，由</w:t>
      </w:r>
      <w:r>
        <w:rPr>
          <w:rFonts w:hint="eastAsia" w:ascii="仿宋" w:hAnsi="仿宋" w:eastAsia="仿宋" w:cs="仿宋"/>
          <w:sz w:val="32"/>
          <w:szCs w:val="32"/>
        </w:rPr>
        <w:t>县</w:t>
      </w:r>
      <w:r>
        <w:rPr>
          <w:rFonts w:ascii="仿宋" w:hAnsi="仿宋" w:eastAsia="仿宋" w:cs="仿宋"/>
          <w:sz w:val="32"/>
          <w:szCs w:val="32"/>
        </w:rPr>
        <w:t>扶贫开发领导小组牵头，定期召开例会，不断对资金的拨付、项目的进展、发现的问题等进行集体讨论反馈，所有例会均有会议纪要。</w:t>
      </w:r>
    </w:p>
    <w:p>
      <w:pPr>
        <w:ind w:firstLine="640" w:firstLineChars="200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（二）绩效评价按照科学规范、公开公正、分级分类、绩效相关原则，采用比较法、因素法、成本法、公众评判法等方法开展绩效评价。所有基础数据的采集、稽查和管理，资料来源和指标完成的情况都有与之相配套的批示文件和佐证材料，并且规定了各部门对数据的管理责任、绩效数据的采集流程、方法和规范、绩效数据稽查及奖惩等，对绩效数据作假行为严惩不贷，从而保证了绩效数据的真实、客观、有效。</w:t>
      </w:r>
    </w:p>
    <w:p>
      <w:pPr>
        <w:spacing w:line="560" w:lineRule="exact"/>
        <w:ind w:firstLine="640" w:firstLineChars="200"/>
        <w:rPr>
          <w:rFonts w:hint="eastAsia" w:eastAsia="仿宋_GB2312"/>
          <w:bCs/>
          <w:color w:val="000000"/>
          <w:sz w:val="32"/>
          <w:szCs w:val="32"/>
        </w:rPr>
      </w:pPr>
      <w:r>
        <w:rPr>
          <w:rFonts w:eastAsia="仿宋_GB2312"/>
          <w:bCs/>
          <w:color w:val="000000"/>
          <w:sz w:val="32"/>
          <w:szCs w:val="32"/>
        </w:rPr>
        <w:t>根据以上方法，对本项目进行了评价工作，所有数据和佐证材料均由相关领导审核签批，并整理归档，以备后查。</w:t>
      </w:r>
    </w:p>
    <w:p>
      <w:pPr>
        <w:rPr>
          <w:rFonts w:eastAsia="仿宋_GB2312"/>
          <w:bCs/>
          <w:color w:val="000000"/>
          <w:sz w:val="32"/>
          <w:szCs w:val="32"/>
        </w:rPr>
      </w:pPr>
      <w:r>
        <w:rPr>
          <w:rFonts w:eastAsia="仿宋_GB2312"/>
          <w:bCs/>
          <w:color w:val="000000"/>
          <w:sz w:val="32"/>
          <w:szCs w:val="32"/>
        </w:rPr>
        <w:t>通过自评本项目的总分数为</w:t>
      </w:r>
      <w:r>
        <w:rPr>
          <w:rFonts w:hint="eastAsia" w:eastAsia="仿宋_GB2312"/>
          <w:bCs/>
          <w:color w:val="000000"/>
          <w:sz w:val="32"/>
          <w:szCs w:val="32"/>
          <w:lang w:val="en-US" w:eastAsia="zh-CN"/>
        </w:rPr>
        <w:t>91</w:t>
      </w:r>
      <w:r>
        <w:rPr>
          <w:rFonts w:hint="eastAsia" w:eastAsia="仿宋_GB2312"/>
          <w:bCs/>
          <w:color w:val="000000"/>
          <w:sz w:val="32"/>
          <w:szCs w:val="32"/>
        </w:rPr>
        <w:t>分</w:t>
      </w:r>
      <w:r>
        <w:rPr>
          <w:rFonts w:hint="eastAsia" w:eastAsia="仿宋_GB2312"/>
          <w:bCs/>
          <w:color w:val="000000"/>
          <w:sz w:val="32"/>
          <w:szCs w:val="32"/>
          <w:lang w:eastAsia="zh-CN"/>
        </w:rPr>
        <w:t>，部分达成预期指标并具有一定效果</w:t>
      </w:r>
      <w:r>
        <w:rPr>
          <w:rFonts w:hint="eastAsia" w:eastAsia="仿宋_GB2312"/>
          <w:bCs/>
          <w:color w:val="000000"/>
          <w:sz w:val="32"/>
          <w:szCs w:val="32"/>
        </w:rPr>
        <w:t>。</w:t>
      </w:r>
    </w:p>
    <w:p>
      <w:pPr>
        <w:spacing w:line="54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343434"/>
          <w:spacing w:val="0"/>
          <w:sz w:val="32"/>
          <w:szCs w:val="32"/>
          <w:lang w:val="en-US" w:eastAsia="zh-CN"/>
        </w:rPr>
        <w:t>2019年的扶贫项目做到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343434"/>
          <w:spacing w:val="0"/>
          <w:sz w:val="32"/>
          <w:szCs w:val="32"/>
          <w:lang w:val="en-US" w:eastAsia="zh-CN"/>
        </w:rPr>
        <w:t>了项目实施的事前、事中、事后的公示公开，也做到了绩效自评在县政府网、乡村公示栏的公示公开。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script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swiss"/>
    <w:pitch w:val="default"/>
    <w:sig w:usb0="00000000" w:usb1="00000000" w:usb2="00000000" w:usb3="00000000" w:csb0="00040000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楷体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??">
    <w:altName w:val="微软雅黑"/>
    <w:panose1 w:val="00000000000000000000"/>
    <w:charset w:val="00"/>
    <w:family w:val="auto"/>
    <w:pitch w:val="default"/>
    <w:sig w:usb0="00000000" w:usb1="00000000" w:usb2="00000000" w:usb3="00000000" w:csb0="FFFFFFFF" w:csb1="00000000"/>
  </w:font>
  <w:font w:name="方正小标宋_GBK">
    <w:altName w:val="微软雅黑"/>
    <w:panose1 w:val="00000000000000000000"/>
    <w:charset w:val="00"/>
    <w:family w:val="auto"/>
    <w:pitch w:val="default"/>
    <w:sig w:usb0="00000000" w:usb1="00000000" w:usb2="00000000" w:usb3="00000000" w:csb0="FFFFFFFF" w:csb1="00000000"/>
  </w:font>
  <w:font w:name="方正楷体_GBK">
    <w:altName w:val="微软雅黑"/>
    <w:panose1 w:val="00000000000000000000"/>
    <w:charset w:val="00"/>
    <w:family w:val="auto"/>
    <w:pitch w:val="default"/>
    <w:sig w:usb0="00000000" w:usb1="00000000" w:usb2="00000000" w:usb3="00000000" w:csb0="FFFFFF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FFFFFFF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algun Gothic">
    <w:panose1 w:val="020B0503020000020004"/>
    <w:charset w:val="81"/>
    <w:family w:val="swiss"/>
    <w:pitch w:val="default"/>
    <w:sig w:usb0="900002AF" w:usb1="01D77CFB" w:usb2="00000012" w:usb3="00000000" w:csb0="00080001" w:csb1="00000000"/>
  </w:font>
  <w:font w:name="仿宋_GB2312">
    <w:altName w:val="仿宋"/>
    <w:panose1 w:val="02010609030101010101"/>
    <w:charset w:val="86"/>
    <w:family w:val="decorative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decorative"/>
    <w:pitch w:val="default"/>
    <w:sig w:usb0="80000287" w:usb1="280F3C52" w:usb2="00000016" w:usb3="00000000" w:csb0="0004001F" w:csb1="00000000"/>
  </w:font>
  <w:font w:name="Malgun Gothic">
    <w:panose1 w:val="020B0503020000020004"/>
    <w:charset w:val="81"/>
    <w:family w:val="decorative"/>
    <w:pitch w:val="default"/>
    <w:sig w:usb0="900002AF" w:usb1="01D77CFB" w:usb2="00000012" w:usb3="00000000" w:csb0="00080001" w:csb1="00000000"/>
  </w:font>
  <w:font w:name="仿宋_GB2312">
    <w:altName w:val="仿宋"/>
    <w:panose1 w:val="02010609030101010101"/>
    <w:charset w:val="86"/>
    <w:family w:val="roma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roman"/>
    <w:pitch w:val="default"/>
    <w:sig w:usb0="80000287" w:usb1="280F3C52" w:usb2="00000016" w:usb3="00000000" w:csb0="0004001F" w:csb1="00000000"/>
  </w:font>
  <w:font w:name="Malgun Gothic">
    <w:panose1 w:val="020B0503020000020004"/>
    <w:charset w:val="81"/>
    <w:family w:val="roman"/>
    <w:pitch w:val="default"/>
    <w:sig w:usb0="900002AF" w:usb1="01D77CFB" w:usb2="00000012" w:usb3="00000000" w:csb0="0008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modern"/>
    <w:pitch w:val="default"/>
    <w:sig w:usb0="80000287" w:usb1="280F3C52" w:usb2="00000016" w:usb3="00000000" w:csb0="0004001F" w:csb1="00000000"/>
  </w:font>
  <w:font w:name="Malgun Gothic">
    <w:panose1 w:val="020B0503020000020004"/>
    <w:charset w:val="81"/>
    <w:family w:val="modern"/>
    <w:pitch w:val="default"/>
    <w:sig w:usb0="900002AF" w:usb1="01D77CFB" w:usb2="00000012" w:usb3="00000000" w:csb0="00080001" w:csb1="00000000"/>
  </w:font>
  <w:font w:name="黑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黑体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黑体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黑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楷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Courier New">
    <w:panose1 w:val="02070309020205020404"/>
    <w:charset w:val="00"/>
    <w:family w:val="auto"/>
    <w:pitch w:val="default"/>
    <w:sig w:usb0="E0002AFF" w:usb1="C0007843" w:usb2="00000009" w:usb3="00000000" w:csb0="400001FF" w:csb1="FFFF0000"/>
  </w:font>
  <w:font w:name="Microsoft YaHei UI">
    <w:altName w:val="宋体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微软雅黑">
    <w:panose1 w:val="020B0503020204020204"/>
    <w:charset w:val="86"/>
    <w:family w:val="script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方正仿宋_GBK">
    <w:altName w:val="微软雅黑"/>
    <w:panose1 w:val="02000000000000000000"/>
    <w:charset w:val="86"/>
    <w:family w:val="auto"/>
    <w:pitch w:val="default"/>
    <w:sig w:usb0="00000000" w:usb1="00000000" w:usb2="00082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楷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decorative"/>
    <w:pitch w:val="default"/>
    <w:sig w:usb0="A00002EF" w:usb1="4000207B" w:usb2="00000000" w:usb3="00000000" w:csb0="2000019F" w:csb1="00000000"/>
  </w:font>
  <w:font w:name="楷体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roman"/>
    <w:pitch w:val="default"/>
    <w:sig w:usb0="A00002EF" w:usb1="4000207B" w:usb2="00000000" w:usb3="00000000" w:csb0="2000019F" w:csb1="00000000"/>
  </w:font>
  <w:font w:name="楷体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modern"/>
    <w:pitch w:val="default"/>
    <w:sig w:usb0="A00002EF" w:usb1="4000207B" w:usb2="0000000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??">
    <w:altName w:val="Times New Roman"/>
    <w:panose1 w:val="00000000000000000000"/>
    <w:charset w:val="50"/>
    <w:family w:val="auto"/>
    <w:pitch w:val="default"/>
    <w:sig w:usb0="00000000" w:usb1="00000000" w:usb2="00000000" w:usb3="00000000" w:csb0="00040001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decorative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0A26"/>
    <w:rsid w:val="003E0379"/>
    <w:rsid w:val="0055176E"/>
    <w:rsid w:val="00E77B2D"/>
    <w:rsid w:val="00F20A26"/>
    <w:rsid w:val="014A5170"/>
    <w:rsid w:val="08CF46F5"/>
    <w:rsid w:val="0A202DD3"/>
    <w:rsid w:val="11BC3419"/>
    <w:rsid w:val="19724F6A"/>
    <w:rsid w:val="1BE40EBF"/>
    <w:rsid w:val="26D96702"/>
    <w:rsid w:val="2C087927"/>
    <w:rsid w:val="2C897CE3"/>
    <w:rsid w:val="32D87191"/>
    <w:rsid w:val="3D942D54"/>
    <w:rsid w:val="3E2F390D"/>
    <w:rsid w:val="424C5F7F"/>
    <w:rsid w:val="49765BD3"/>
    <w:rsid w:val="4AA12435"/>
    <w:rsid w:val="52C45562"/>
    <w:rsid w:val="53C42FE8"/>
    <w:rsid w:val="56B910E0"/>
    <w:rsid w:val="5B7B29FB"/>
    <w:rsid w:val="62627937"/>
    <w:rsid w:val="699342D7"/>
    <w:rsid w:val="69976FE7"/>
    <w:rsid w:val="70EE3DB2"/>
    <w:rsid w:val="734F2EF6"/>
    <w:rsid w:val="7B8B6549"/>
    <w:rsid w:val="7D902826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99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character" w:default="1" w:styleId="5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unhideWhenUsed/>
    <w:qFormat/>
    <w:uiPriority w:val="99"/>
    <w:pPr>
      <w:spacing w:after="120"/>
      <w:ind w:left="420" w:leftChars="200"/>
    </w:pPr>
  </w:style>
  <w:style w:type="paragraph" w:styleId="4">
    <w:name w:val="Body Text First Indent 2"/>
    <w:basedOn w:val="3"/>
    <w:unhideWhenUsed/>
    <w:qFormat/>
    <w:uiPriority w:val="99"/>
    <w:pPr>
      <w:spacing w:line="312" w:lineRule="auto"/>
      <w:ind w:firstLine="420"/>
    </w:pPr>
    <w:rPr>
      <w:rFonts w:ascii="??" w:eastAsia="Times New Roman"/>
      <w:bCs/>
      <w:sz w:val="24"/>
    </w:rPr>
  </w:style>
  <w:style w:type="character" w:styleId="6">
    <w:name w:val="Strong"/>
    <w:basedOn w:val="5"/>
    <w:qFormat/>
    <w:uiPriority w:val="22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52</Words>
  <Characters>301</Characters>
  <Lines>2</Lines>
  <Paragraphs>1</Paragraphs>
  <ScaleCrop>false</ScaleCrop>
  <LinksUpToDate>false</LinksUpToDate>
  <CharactersWithSpaces>352</CharactersWithSpaces>
  <Application>WPS Office_10.8.0.5562_F1E327BC-269C-435d-A152-05C5408002CA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2019-10-08T05:02:00Z</dcterms:created>
  <dc:creator>姜波</dc:creator>
  <cp:lastModifiedBy>Administrator</cp:lastModifiedBy>
  <dcterms:modified xsi:type="dcterms:W3CDTF">2020-05-01T10:57:47Z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2052-10.8.0.5562</vt:lpwstr>
  </property>
</Properties>
</file>