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  <w:bookmarkStart w:id="2" w:name="_GoBack"/>
      <w:bookmarkEnd w:id="2"/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  <w:u w:val="none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新疆巴州和静县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val="en-US" w:eastAsia="zh-CN"/>
        </w:rPr>
        <w:t>巴润哈尔莫敦镇人民政府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和静县巴润哈尔莫敦镇开来村互助院项目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和静县巴润哈尔莫敦镇人民政府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李鹏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（一）项目单位基本情况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（其前身是上游公社，成立于1950年4月，1998年11月撤乡建镇）2015年是全国小城镇建设示范试点镇，着重建设成规划科学、经济发展、功能完善、特色鲜明、宜居宜业，具有较强人口和产业聚集能力、能够发挥较强辐射带动作用的建制镇承担小城镇建设示范试点镇</w:t>
      </w:r>
      <w:r>
        <w:rPr>
          <w:rFonts w:hint="eastAsia" w:ascii="仿宋_GB2312" w:eastAsia="仿宋_GB2312" w:cs="仿宋_GB2312"/>
          <w:sz w:val="30"/>
          <w:szCs w:val="30"/>
        </w:rPr>
        <w:t>组织实施与管理职责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（二）项目年度预算绩效目标、绩效指标设定情况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项目年度预算绩效总目标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 xml:space="preserve">开来村幸福互助院既给老年人提供了集中居住、互相照顾、快乐生活的自由空间，又为子女赡养老人提供了方便；既解除了老年人孤独、寂寞的烦恼，又解除了外出务工经商子女的后顾之忧。大力推进农村社会养老问题;幸福工程建设对于在全社会营造尊老、敬老、爱老、助老浓厚氛围，构建和谐社会具有重要的现实意义。 让更多的农村老年人实现老有所居、老有所养、老有所乐、安享晚年，促进农村和谐稳定，加快构建和谐社会进程。 </w:t>
      </w:r>
    </w:p>
    <w:p>
      <w:pPr>
        <w:numPr>
          <w:ilvl w:val="0"/>
          <w:numId w:val="1"/>
        </w:num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sz w:val="30"/>
          <w:szCs w:val="30"/>
        </w:rPr>
        <w:t>项目绩效指标设定情况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巴润哈尔莫敦镇开来村幸福互助院项目计划总投资25万元，全部由上级财政拨款。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（三）项目基本性质、用途和主要内容、涉及范围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项目基本性质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基础设施建设</w:t>
      </w:r>
      <w:r>
        <w:rPr>
          <w:rFonts w:hint="eastAsia" w:ascii="仿宋_GB2312" w:eastAsia="仿宋_GB2312" w:cs="仿宋_GB2312"/>
          <w:sz w:val="30"/>
          <w:szCs w:val="30"/>
        </w:rPr>
        <w:t>类项目。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项目用途和主要内容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600" w:lineRule="atLeast"/>
        <w:ind w:left="0" w:right="0" w:firstLine="720"/>
        <w:jc w:val="left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项目用途：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 xml:space="preserve">开来村幸福互助院既给老年人提供了集中居住、互相照顾、快乐生活的自由空间，又为子女赡养老人提供了方便；既解除了老年人孤独、寂寞的烦恼，又解除了外出务工经商子女的后顾之忧。大力推进农村社会养老问题;幸福工程建设对于在全社会营造尊老、敬老、爱老、助老浓厚氛围，构建和谐社会具有重要的现实意义。 让更多的农村老年人实现老有所居、老有所养、老有所乐、安享晚年，促进农村和谐稳定，加快构建和谐社会进程。 </w:t>
      </w:r>
    </w:p>
    <w:p>
      <w:pPr>
        <w:ind w:firstLine="600" w:firstLineChars="200"/>
        <w:rPr>
          <w:rFonts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项目内容：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新建混转110平方米，维修改建210平方米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项目涉及范围</w:t>
      </w:r>
    </w:p>
    <w:p>
      <w:pPr>
        <w:ind w:firstLine="600" w:firstLineChars="200"/>
        <w:rPr>
          <w:rFonts w:hint="eastAsia" w:ascii="仿宋_GB2312" w:eastAsia="仿宋_GB2312" w:cs="Times New Roman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项目位于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开来村新建混转110平方米，维修改建210平方米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</w:rPr>
        <w:t>项目总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投资25</w:t>
      </w:r>
      <w:r>
        <w:rPr>
          <w:rFonts w:hint="eastAsia" w:ascii="仿宋_GB2312" w:eastAsia="仿宋_GB2312" w:cs="仿宋_GB2312"/>
          <w:sz w:val="30"/>
          <w:szCs w:val="30"/>
        </w:rPr>
        <w:t>万元，</w:t>
      </w:r>
      <w:r>
        <w:rPr>
          <w:rFonts w:ascii="仿宋_GB2312" w:eastAsia="仿宋_GB2312" w:cs="仿宋_GB2312"/>
          <w:sz w:val="30"/>
          <w:szCs w:val="30"/>
        </w:rPr>
        <w:t>201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7</w:t>
      </w:r>
      <w:r>
        <w:rPr>
          <w:rFonts w:hint="eastAsia" w:ascii="仿宋_GB2312" w:eastAsia="仿宋_GB2312" w:cs="仿宋_GB2312"/>
          <w:sz w:val="30"/>
          <w:szCs w:val="30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根据巴财综（2018）4号，和静县财政局</w:t>
      </w:r>
      <w:r>
        <w:rPr>
          <w:rFonts w:hint="eastAsia" w:ascii="仿宋_GB2312" w:eastAsia="仿宋_GB2312" w:cs="仿宋_GB2312"/>
          <w:sz w:val="30"/>
          <w:szCs w:val="30"/>
        </w:rPr>
        <w:t>下达资金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25</w:t>
      </w:r>
      <w:r>
        <w:rPr>
          <w:rFonts w:hint="eastAsia" w:ascii="仿宋_GB2312" w:eastAsia="仿宋_GB2312" w:cs="仿宋_GB2312"/>
          <w:sz w:val="30"/>
          <w:szCs w:val="30"/>
        </w:rPr>
        <w:t>万元，到位资金全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部投</w:t>
      </w:r>
      <w:r>
        <w:rPr>
          <w:rFonts w:hint="eastAsia" w:ascii="仿宋_GB2312" w:eastAsia="仿宋_GB2312" w:cs="仿宋_GB2312"/>
          <w:sz w:val="30"/>
          <w:szCs w:val="30"/>
        </w:rPr>
        <w:t>入项目使用。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中标</w:t>
      </w:r>
      <w:r>
        <w:rPr>
          <w:rFonts w:hint="eastAsia" w:ascii="仿宋_GB2312" w:eastAsia="仿宋_GB2312" w:cs="仿宋_GB2312"/>
          <w:sz w:val="30"/>
          <w:szCs w:val="30"/>
        </w:rPr>
        <w:t>投资总额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25</w:t>
      </w:r>
      <w:r>
        <w:rPr>
          <w:rFonts w:hint="eastAsia" w:ascii="仿宋_GB2312" w:eastAsia="仿宋_GB2312" w:cs="仿宋_GB2312"/>
          <w:sz w:val="30"/>
          <w:szCs w:val="30"/>
        </w:rPr>
        <w:t>万元，主要用于项目工程施工费、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购置</w:t>
      </w:r>
      <w:r>
        <w:rPr>
          <w:rFonts w:hint="eastAsia" w:ascii="仿宋_GB2312" w:eastAsia="仿宋_GB2312" w:cs="仿宋_GB2312"/>
          <w:sz w:val="30"/>
          <w:szCs w:val="30"/>
        </w:rPr>
        <w:t>费、其他费用等。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资金收支管理为国库集中支付，支付手续规范，资金管理总体符合财务管理制度。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（三）项目资金管理情况析</w:t>
      </w:r>
    </w:p>
    <w:p>
      <w:pPr>
        <w:ind w:firstLine="600" w:firstLineChars="20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专款专用，单独核算，项目法人对资金的使用负管理责任；严格按照项目管理的相关规定，统一资金管理，加强资金审计监督，建立按照项目施工进度拨付资金的内部控制制度，按工程进度拨款，保证项目实施的正常运行；建立健全项目会计核算制度，对项目资金实行全过程的财务管理与监督；严格项目资金竣工决算，规范项目的业绩考评和追踪问效，使项目资金合理、有效使用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（一）项目组织情况分析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项目组织情况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项目承担单位依据批复资金，按照《自治区整治项目管理暂行办法》等有关规定，依据《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中华人民共和国商标法</w:t>
      </w:r>
      <w:r>
        <w:rPr>
          <w:rFonts w:hint="eastAsia" w:ascii="仿宋_GB2312" w:eastAsia="仿宋_GB2312" w:cs="仿宋_GB2312"/>
          <w:sz w:val="30"/>
          <w:szCs w:val="30"/>
        </w:rPr>
        <w:t>》、九部委《工程建设项目施工招标办法》组织进行项目招标工作。项目承担单位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</w:t>
      </w:r>
      <w:r>
        <w:rPr>
          <w:rFonts w:hint="eastAsia" w:ascii="仿宋_GB2312" w:eastAsia="仿宋_GB2312" w:cs="仿宋_GB2312"/>
          <w:sz w:val="30"/>
          <w:szCs w:val="30"/>
        </w:rPr>
        <w:t>组织制定了招标工作方案。招标工作严格按照批准的招标工作方案执行。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项目调整情况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本项目不存在调整情况。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项目验收情况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本项目于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2018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 w:cs="仿宋_GB2312"/>
          <w:sz w:val="30"/>
          <w:szCs w:val="30"/>
        </w:rPr>
        <w:t>月实施，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已验收</w:t>
      </w:r>
      <w:r>
        <w:rPr>
          <w:rFonts w:hint="eastAsia" w:ascii="仿宋_GB2312" w:eastAsia="仿宋_GB2312" w:cs="仿宋_GB2312"/>
          <w:sz w:val="30"/>
          <w:szCs w:val="30"/>
        </w:rPr>
        <w:t>竣工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投入使用</w:t>
      </w:r>
      <w:r>
        <w:rPr>
          <w:rFonts w:hint="eastAsia" w:ascii="仿宋_GB2312" w:eastAsia="仿宋_GB2312" w:cs="仿宋_GB2312"/>
          <w:sz w:val="30"/>
          <w:szCs w:val="30"/>
        </w:rPr>
        <w:t>。</w:t>
      </w:r>
      <w:r>
        <w:rPr>
          <w:rFonts w:ascii="仿宋_GB2312" w:eastAsia="仿宋_GB2312" w:cs="Times New Roman"/>
          <w:sz w:val="30"/>
          <w:szCs w:val="30"/>
        </w:rPr>
        <w:t xml:space="preserve"> 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（二）项目管理情况分析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项目管理机构构建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和静县巴润哈尔莫敦镇人民政府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作为项目承担单位负责项目变更审批、项目合同段验收、项目实施的监督检查和各方协调、财务决算审计等工作；项目所在地和静县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作为实施单位负责项目的具体实施工作、分部验收工作等工作。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项目所在地县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专门成立了领导小组，负责在实施过程中的协调和重大事项的审批工作，领导小组由分管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eastAsia="仿宋_GB2312" w:cs="仿宋_GB2312"/>
          <w:sz w:val="30"/>
          <w:szCs w:val="30"/>
        </w:rPr>
        <w:t>工作的领导担任组长，</w:t>
      </w:r>
      <w:r>
        <w:rPr>
          <w:rFonts w:asci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eastAsia="仿宋_GB2312" w:cs="仿宋_GB2312"/>
          <w:sz w:val="30"/>
          <w:szCs w:val="30"/>
        </w:rPr>
        <w:t>成员由项目所在地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政府办公室、财政所</w:t>
      </w:r>
      <w:r>
        <w:rPr>
          <w:rFonts w:hint="eastAsia" w:ascii="仿宋_GB2312" w:eastAsia="仿宋_GB2312" w:cs="仿宋_GB2312"/>
          <w:sz w:val="30"/>
          <w:szCs w:val="30"/>
        </w:rPr>
        <w:t>、国土资源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所</w:t>
      </w:r>
      <w:r>
        <w:rPr>
          <w:rFonts w:hint="eastAsia" w:ascii="仿宋_GB2312" w:eastAsia="仿宋_GB2312" w:cs="仿宋_GB2312"/>
          <w:sz w:val="30"/>
          <w:szCs w:val="30"/>
        </w:rPr>
        <w:t>、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城建办</w:t>
      </w:r>
      <w:r>
        <w:rPr>
          <w:rFonts w:hint="eastAsia" w:ascii="仿宋_GB2312" w:eastAsia="仿宋_GB2312" w:cs="仿宋_GB2312"/>
          <w:sz w:val="30"/>
          <w:szCs w:val="30"/>
        </w:rPr>
        <w:t>、环保局等单位组成。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强化项目规范管理，从项目立项审批开始，到实施、竣工等工程建设的各个阶段，严格执行公告制、法人制、招标制、合同制、监理制、审计制、验收制等制度，明确目标责任，规范运作程序，确保公开透明，保障工程质量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）日常检查监督管理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为加强项目的有效监管，由承担单位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定期</w:t>
      </w:r>
      <w:r>
        <w:rPr>
          <w:rFonts w:hint="eastAsia" w:ascii="仿宋_GB2312" w:eastAsia="仿宋_GB2312" w:cs="仿宋_GB2312"/>
          <w:sz w:val="30"/>
          <w:szCs w:val="30"/>
        </w:rPr>
        <w:t>组织对项目组织管理与制度执行情况、项目规划设计和预算执行情况、项目建设工程任务完成情况、项目资金使用与管理情况、土地权属调整和农民权益维护情况、项目验收和后期管护情况、项目档案资料管理情况等内容开展专项检查或者不定期抽查，开展监督检查措施主要是内业检查、外业检查、质量跟踪、开展审计等措施，强化项目的动态监管，确保项目工程建设质量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（一）项目绩效目标完成情况分析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项目经济性分析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预算管理制度，专款专用，单独核算，项目法人对资金的使用负管理责任；严格按照项目管理的相关规定，统一资金管理。加强资金审计监督，建立按照项目施工进度拨付资金的内部控制制度，按工程进度拨款，保证项目实施的正常运行；建立健全项目会计核算制度和内部稽核制度，对项目资金实行全过程的财务管理与监督；严格项目资金竣工决算，规范项目的业绩考评和追踪问效，使项目资金合理、有效使用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项目效率性分析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项目的实施进度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在项目工程施工进度方面，按设计施工进度要求，各项工程建设任务达到预期目标。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项目的效益性分析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在社会效益方面，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让更多的农村老年人实现老有所居、老有所养、老有所乐、安享晚年，促进农村和谐稳定，加快构建和谐社会进程。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在经济效益方面，通过项目实施，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解决村民后顾之忧，促进群众增收致富搭建了平台。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4.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可持续性分析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通过本项目的实施，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让更多的农村老年人实现老有所居、老有所养、老有所乐、安享晚年，促进农村和谐稳定，加快构建和谐社会进程。</w:t>
      </w:r>
      <w:r>
        <w:rPr>
          <w:rFonts w:hint="eastAsia" w:ascii="仿宋_GB2312" w:eastAsia="仿宋_GB2312" w:cs="仿宋_GB2312"/>
          <w:sz w:val="30"/>
          <w:szCs w:val="30"/>
        </w:rPr>
        <w:t>表明本项目具有可持续性。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（二）项目绩效目标未完成原因分析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该项目建设期：２０１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 w:cs="仿宋_GB2312"/>
          <w:sz w:val="30"/>
          <w:szCs w:val="30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28日</w:t>
      </w:r>
      <w:r>
        <w:rPr>
          <w:rFonts w:hint="eastAsia" w:ascii="仿宋_GB2312" w:eastAsia="仿宋_GB2312" w:cs="仿宋_GB2312"/>
          <w:sz w:val="30"/>
          <w:szCs w:val="30"/>
        </w:rPr>
        <w:t>－２０１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 w:cs="仿宋_GB2312"/>
          <w:sz w:val="30"/>
          <w:szCs w:val="30"/>
        </w:rPr>
        <w:t>月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20日</w:t>
      </w:r>
      <w:r>
        <w:rPr>
          <w:rFonts w:hint="eastAsia" w:ascii="仿宋_GB2312" w:eastAsia="仿宋_GB2312" w:cs="仿宋_GB2312"/>
          <w:sz w:val="30"/>
          <w:szCs w:val="30"/>
        </w:rPr>
        <w:t>，目前已完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共投入使用</w:t>
      </w:r>
      <w:r>
        <w:rPr>
          <w:rFonts w:hint="eastAsia" w:ascii="仿宋_GB2312" w:eastAsia="仿宋_GB2312" w:cs="仿宋_GB2312"/>
          <w:sz w:val="30"/>
          <w:szCs w:val="30"/>
        </w:rPr>
        <w:t>，本项目目前基本完成了项目绩效目标。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00" w:firstLineChars="200"/>
        <w:outlineLvl w:val="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项目使用管理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（二）主要经验做法、存在问题和建议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主要经验做法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）坚持依法规范化运作管理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前期，一定要手续合法、程序到位、运作规范。一是项目实施要有批准文件；二是要严格按照国家和自治区对国家重点项目的运作程序和要求，按照前期立项选址、测量、规划设计及预算编制、投资评审及修改完善、项目招标、工程监理、实施管理、竣工验收等环节程序进行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）坚持不断优化规划设计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在规划设计过程中，一定要深入到项目区，做到规划设计科学合理、客观使用。在项目施工过程中，对规划设计方案中的一些不符合实际的设计，应根据实际情况，进行工程设计变更，并严格履行变更报批手续。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）各相关部门通力协作、齐抓共管、发挥整体功能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要严格执行项目法人制、项目公告制、项目招投标制、项目监理制、项目合同制等五项制度。项目承担单位推行管理目标责任制，具体负责协调解决工程建设中的有关问题。监理单位负责对工程的进度、质量等情况进行监理，施工单位负责保时保质保量完成项目规划设计的目标。在项目资金使用与管理方面，严格按财务管理制度落实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存在主要问题</w:t>
      </w:r>
    </w:p>
    <w:p>
      <w:pPr>
        <w:ind w:firstLine="64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>（</w:t>
      </w:r>
      <w:r>
        <w:rPr>
          <w:rFonts w:hint="eastAsia" w:ascii="仿宋_GB2312" w:eastAsia="仿宋_GB2312" w:cs="仿宋_GB2312"/>
          <w:sz w:val="30"/>
          <w:szCs w:val="30"/>
        </w:rPr>
        <w:t>一）项目审批程序复杂，建设用地指标少、审批难，因各项手续多、周期长，在一定程度上影响了项目建设和资金支付进度；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（二）村镇建设管理和专业技术人才相对缺乏，在工作协调等方面存在不足，影响了村镇建设的整体推进；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相关建议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加强与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县、乡</w:t>
      </w:r>
      <w:r>
        <w:rPr>
          <w:rFonts w:hint="eastAsia" w:ascii="仿宋_GB2312" w:eastAsia="仿宋_GB2312" w:cs="仿宋_GB2312"/>
          <w:sz w:val="30"/>
          <w:szCs w:val="30"/>
        </w:rPr>
        <w:t>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施工单位</w:t>
      </w:r>
      <w:r>
        <w:rPr>
          <w:rFonts w:hint="eastAsia" w:ascii="仿宋_GB2312" w:eastAsia="仿宋_GB2312" w:cs="仿宋_GB2312"/>
          <w:sz w:val="30"/>
          <w:szCs w:val="30"/>
        </w:rPr>
        <w:t>的协调沟通，施工单位加强施工原料储备，加强协调组织和技术力量，合理调整施工进度，在可施工时段内合理有序的加快施工进度，保证项目按时保质完成。</w:t>
      </w:r>
    </w:p>
    <w:p>
      <w:pPr>
        <w:tabs>
          <w:tab w:val="left" w:pos="1050"/>
        </w:tabs>
        <w:ind w:firstLine="6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0" w:name="_Toc493765640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（一）绩效评价设计过程</w:t>
      </w:r>
      <w:bookmarkEnd w:id="0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评价小组在项目竣工后全面审核项目相关资料的基础上，通过对项目实施的检查评价，从而完成对整体项目的分析、总结得出评价结论。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1" w:name="_Toc493765641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（二）项目绩效评价原则和方法</w:t>
      </w:r>
      <w:bookmarkEnd w:id="1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次绩效评价结合实际情况，按照设定的绩效目标，运用科学、合理的评价方法等，对项目的投入、过程、产出、效果的各个方面进行客观、公正地评价，侧重评价项目的产出及其效果。本次绩效评价主要采用比较法，即通过对绩效目标与实施效果比较，综合分析绩效目标实现程度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（三）评价结果</w:t>
      </w: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  <w:r>
        <w:rPr>
          <w:rFonts w:hint="eastAsia" w:ascii="Times New Roman" w:hAnsi="Times New Roman" w:eastAsia="仿宋_GB2312" w:cs="仿宋_GB2312"/>
          <w:sz w:val="30"/>
          <w:szCs w:val="30"/>
        </w:rPr>
        <w:t>本次项目绩效评价结果为良。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  <w:r>
        <w:rPr>
          <w:rFonts w:hint="eastAsia" w:ascii="Times New Roman" w:hAnsi="Times New Roman" w:eastAsia="仿宋_GB2312" w:cs="仿宋_GB2312"/>
          <w:sz w:val="30"/>
          <w:szCs w:val="30"/>
        </w:rPr>
        <w:t>《</w:t>
      </w:r>
      <w:r>
        <w:rPr>
          <w:rFonts w:hint="eastAsia" w:ascii="Times New Roman" w:hAnsi="Times New Roman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Times New Roman" w:hAnsi="Times New Roman" w:eastAsia="仿宋_GB2312" w:cs="仿宋_GB2312"/>
          <w:sz w:val="30"/>
          <w:szCs w:val="30"/>
        </w:rPr>
        <w:t>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</w:p>
    <w:p>
      <w:pPr>
        <w:ind w:firstLine="640" w:firstLineChars="200"/>
        <w:rPr>
          <w:rFonts w:ascii="宋体" w:cs="Times New Roman"/>
          <w:b/>
          <w:bCs/>
          <w:color w:val="333333"/>
          <w:sz w:val="32"/>
          <w:szCs w:val="32"/>
          <w:shd w:val="clear" w:color="auto" w:fill="FFFFFF"/>
        </w:rPr>
        <w:sectPr>
          <w:footerReference r:id="rId5" w:type="default"/>
          <w:pgSz w:w="11906" w:h="16838"/>
          <w:pgMar w:top="2098" w:right="1474" w:bottom="1985" w:left="1588" w:header="851" w:footer="992" w:gutter="0"/>
          <w:cols w:space="425" w:num="1"/>
          <w:docGrid w:type="linesAndChars" w:linePitch="312" w:charSpace="0"/>
        </w:sectPr>
      </w:pPr>
    </w:p>
    <w:p>
      <w:pPr>
        <w:widowControl/>
        <w:jc w:val="center"/>
        <w:rPr>
          <w:rFonts w:hint="eastAsia" w:ascii="宋体" w:hAnsi="宋体" w:cs="宋体"/>
          <w:kern w:val="0"/>
          <w:sz w:val="20"/>
          <w:szCs w:val="20"/>
        </w:rPr>
      </w:pPr>
    </w:p>
    <w:sectPr>
      <w:footerReference r:id="rId6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 xml:space="preserve"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  <w:lang w:val="zh-CN"/>
      </w:rPr>
      <w:t>11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979A95"/>
    <w:multiLevelType w:val="singleLevel"/>
    <w:tmpl w:val="7F979A9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MjA0MGM5MTIzMGI3YzZhNWY5Zjk1YjRhMWM5MGUifQ=="/>
  </w:docVars>
  <w:rsids>
    <w:rsidRoot w:val="00000000"/>
    <w:rsid w:val="023C58F4"/>
    <w:rsid w:val="05B221C8"/>
    <w:rsid w:val="06722B4B"/>
    <w:rsid w:val="06E221B7"/>
    <w:rsid w:val="08731441"/>
    <w:rsid w:val="08E54008"/>
    <w:rsid w:val="09783898"/>
    <w:rsid w:val="09A60C1C"/>
    <w:rsid w:val="0A90603F"/>
    <w:rsid w:val="0B070552"/>
    <w:rsid w:val="0B3F702F"/>
    <w:rsid w:val="0D9864EC"/>
    <w:rsid w:val="0E6B5CFA"/>
    <w:rsid w:val="0F046B06"/>
    <w:rsid w:val="1149539A"/>
    <w:rsid w:val="13425C5D"/>
    <w:rsid w:val="13965CCD"/>
    <w:rsid w:val="162373E4"/>
    <w:rsid w:val="16EF50EB"/>
    <w:rsid w:val="188224F7"/>
    <w:rsid w:val="188E02B4"/>
    <w:rsid w:val="18DC7AF5"/>
    <w:rsid w:val="192E180D"/>
    <w:rsid w:val="1B6449E2"/>
    <w:rsid w:val="1BFC326A"/>
    <w:rsid w:val="1D711627"/>
    <w:rsid w:val="1EE60435"/>
    <w:rsid w:val="1F1D2416"/>
    <w:rsid w:val="20803C17"/>
    <w:rsid w:val="20AF4595"/>
    <w:rsid w:val="210F20DE"/>
    <w:rsid w:val="22A569A6"/>
    <w:rsid w:val="22B270F3"/>
    <w:rsid w:val="22CC4CD9"/>
    <w:rsid w:val="262B6972"/>
    <w:rsid w:val="269A5C73"/>
    <w:rsid w:val="27C857A0"/>
    <w:rsid w:val="281103C4"/>
    <w:rsid w:val="2E03344E"/>
    <w:rsid w:val="2FB774DA"/>
    <w:rsid w:val="30486644"/>
    <w:rsid w:val="315D284F"/>
    <w:rsid w:val="32F44C53"/>
    <w:rsid w:val="348436A6"/>
    <w:rsid w:val="376A2FEA"/>
    <w:rsid w:val="38FF762A"/>
    <w:rsid w:val="3A5E1E93"/>
    <w:rsid w:val="3BF568BE"/>
    <w:rsid w:val="3EB7127B"/>
    <w:rsid w:val="3FC14C1E"/>
    <w:rsid w:val="41D34840"/>
    <w:rsid w:val="42987D97"/>
    <w:rsid w:val="439B2447"/>
    <w:rsid w:val="444806EE"/>
    <w:rsid w:val="481250AB"/>
    <w:rsid w:val="4B9D0A8E"/>
    <w:rsid w:val="4C0061BE"/>
    <w:rsid w:val="4EFD4EDB"/>
    <w:rsid w:val="4FFF49A2"/>
    <w:rsid w:val="51B751EE"/>
    <w:rsid w:val="535B1BEC"/>
    <w:rsid w:val="536705B2"/>
    <w:rsid w:val="54C64098"/>
    <w:rsid w:val="57DC619C"/>
    <w:rsid w:val="5B352542"/>
    <w:rsid w:val="60C755CA"/>
    <w:rsid w:val="633E62E3"/>
    <w:rsid w:val="641436FF"/>
    <w:rsid w:val="67181810"/>
    <w:rsid w:val="6C5B2CCE"/>
    <w:rsid w:val="6CE71C9D"/>
    <w:rsid w:val="6DC54991"/>
    <w:rsid w:val="6DC9486E"/>
    <w:rsid w:val="6EB02EAF"/>
    <w:rsid w:val="6FF0496D"/>
    <w:rsid w:val="70893607"/>
    <w:rsid w:val="70A15B3D"/>
    <w:rsid w:val="72785CA3"/>
    <w:rsid w:val="74627170"/>
    <w:rsid w:val="791E4606"/>
    <w:rsid w:val="7936503B"/>
    <w:rsid w:val="7C2E36D1"/>
    <w:rsid w:val="7D4D7EC1"/>
    <w:rsid w:val="7E57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qq</dc:creator>
  <cp:lastModifiedBy>布舵</cp:lastModifiedBy>
  <dcterms:modified xsi:type="dcterms:W3CDTF">2023-12-18T05:50:43Z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A4352D230BE34FC081BDD4B1D538A490_12</vt:lpwstr>
  </property>
</Properties>
</file>