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  <w:lang w:val="en-US" w:eastAsia="zh-CN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single"/>
        </w:rPr>
      </w:pPr>
      <w:bookmarkStart w:id="2" w:name="_GoBack"/>
      <w:bookmarkEnd w:id="2"/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  <w:u w:val="none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新疆巴州和静县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  <w:lang w:val="en-US" w:eastAsia="zh-CN"/>
        </w:rPr>
        <w:t>巴润哈尔莫敦镇人民政府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u w:val="none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2018年</w:t>
      </w:r>
      <w:r>
        <w:rPr>
          <w:rFonts w:hint="eastAsia" w:hAnsi="宋体" w:eastAsia="仿宋_GB2312" w:cs="宋体"/>
          <w:kern w:val="0"/>
          <w:sz w:val="36"/>
          <w:szCs w:val="36"/>
        </w:rPr>
        <w:t>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巴润哈尔莫墩镇安居富民项目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和静县巴润哈尔莫墩镇人民政府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和静县人民政府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马君才</w:t>
      </w:r>
    </w:p>
    <w:p>
      <w:pPr>
        <w:spacing w:line="700" w:lineRule="exact"/>
        <w:ind w:left="1800" w:hanging="1800" w:hangingChars="500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（一）项目单位基本情况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（其前身是上游公社，成立于1950年4月，1998年11月撤乡建镇）2015年是全国小城镇建设示范试点镇，着重建设成规划科学、经济发展、功能完善、特色鲜明、宜居宜业，具有较强人口和产业聚集能力、能够发挥较强辐射带动作用的建制镇承担小城镇建设示范试点镇</w:t>
      </w:r>
      <w:r>
        <w:rPr>
          <w:rFonts w:hint="eastAsia" w:ascii="仿宋_GB2312" w:eastAsia="仿宋_GB2312" w:cs="仿宋_GB2312"/>
          <w:sz w:val="30"/>
          <w:szCs w:val="30"/>
        </w:rPr>
        <w:t>组织实施与管理职责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（二）项目年度预算绩效目标、绩效指标设定情况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项目年度预算绩效总目标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通过实施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安居富民项目，紧紧围绕扶贫攻坚目标任务，全面贯彻落实中央和省、市扶贫开发工作会议精神，以实现贫困群众“两不愁、三保障”、“贫困行政村四通四有”、“特困自然村五通一有”、“贫困户两不愁三保障”为基本标准，</w:t>
      </w:r>
      <w:r>
        <w:rPr>
          <w:rFonts w:hint="eastAsia" w:ascii="仿宋_GB2312" w:eastAsia="仿宋_GB2312" w:cs="仿宋_GB2312"/>
          <w:sz w:val="30"/>
          <w:szCs w:val="30"/>
        </w:rPr>
        <w:t>按照贫困村“一村一品”产业发展和增强贫困村自我发展能力的要求，我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结合贫困村群众产业发展实际以及市场需求，利用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安居富民</w:t>
      </w:r>
      <w:r>
        <w:rPr>
          <w:rFonts w:hint="eastAsia" w:ascii="仿宋_GB2312" w:eastAsia="仿宋_GB2312" w:cs="仿宋_GB2312"/>
          <w:sz w:val="30"/>
          <w:szCs w:val="30"/>
        </w:rPr>
        <w:t>资金在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各村</w:t>
      </w:r>
      <w:r>
        <w:rPr>
          <w:rFonts w:hint="eastAsia" w:ascii="仿宋_GB2312" w:eastAsia="仿宋_GB2312" w:cs="仿宋_GB2312"/>
          <w:sz w:val="30"/>
          <w:szCs w:val="30"/>
        </w:rPr>
        <w:t>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有计划，有步骤的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实施安居富民工程</w:t>
      </w:r>
      <w:r>
        <w:rPr>
          <w:rFonts w:hint="eastAsia" w:ascii="仿宋_GB2312" w:eastAsia="仿宋_GB2312" w:cs="仿宋_GB2312"/>
          <w:sz w:val="30"/>
          <w:szCs w:val="30"/>
        </w:rPr>
        <w:t>。 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确保贫困人口及一般群众住房保障，使各族人民生活水平不断提高。</w:t>
      </w:r>
    </w:p>
    <w:p>
      <w:pPr>
        <w:numPr>
          <w:ilvl w:val="0"/>
          <w:numId w:val="1"/>
        </w:numPr>
        <w:spacing w:line="360" w:lineRule="auto"/>
        <w:ind w:firstLine="600" w:firstLineChars="200"/>
        <w:rPr>
          <w:rFonts w:hint="eastAsia" w:asci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sz w:val="30"/>
          <w:szCs w:val="30"/>
        </w:rPr>
        <w:t>项目绩效指标设定情况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巴润哈尔莫敦镇安居富民工程项目总投资412.81万元，全部由上级财政拨款。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（三）项目基本性质、用途和主要内容、涉及范围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项目基本性质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基本建设类项目。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项目用途和主要内容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项目用途：通过实施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安居富民项目，紧紧围绕扶贫攻坚目标任务，全面贯彻落实中央和省、市扶贫开发工作会议精神，以实现贫困群众“两不愁、三保障”、“贫困行政村四通四有”、“特困自然村五通一有”、“贫困户两不愁三保障”为基本标准，</w:t>
      </w:r>
      <w:r>
        <w:rPr>
          <w:rFonts w:hint="eastAsia" w:ascii="仿宋_GB2312" w:eastAsia="仿宋_GB2312" w:cs="仿宋_GB2312"/>
          <w:sz w:val="30"/>
          <w:szCs w:val="30"/>
        </w:rPr>
        <w:t>按照贫困村“一村一品”产业发展和增强贫困村自我发展能力的要求，我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结合贫困村群众产业发展实际以及市场需求，利用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安居富民</w:t>
      </w:r>
      <w:r>
        <w:rPr>
          <w:rFonts w:hint="eastAsia" w:ascii="仿宋_GB2312" w:eastAsia="仿宋_GB2312" w:cs="仿宋_GB2312"/>
          <w:sz w:val="30"/>
          <w:szCs w:val="30"/>
        </w:rPr>
        <w:t>资金在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各村</w:t>
      </w:r>
      <w:r>
        <w:rPr>
          <w:rFonts w:hint="eastAsia" w:ascii="仿宋_GB2312" w:eastAsia="仿宋_GB2312" w:cs="仿宋_GB2312"/>
          <w:sz w:val="30"/>
          <w:szCs w:val="30"/>
        </w:rPr>
        <w:t>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有计划，有步骤的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实施安居富民工程</w:t>
      </w:r>
      <w:r>
        <w:rPr>
          <w:rFonts w:hint="eastAsia" w:ascii="仿宋_GB2312" w:eastAsia="仿宋_GB2312" w:cs="仿宋_GB2312"/>
          <w:sz w:val="30"/>
          <w:szCs w:val="30"/>
        </w:rPr>
        <w:t>。 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确保贫困人口及一般群众住房保障，使各族人民生活水平不断提高。</w:t>
      </w:r>
    </w:p>
    <w:p>
      <w:pPr>
        <w:ind w:firstLine="600" w:firstLineChars="200"/>
        <w:rPr>
          <w:rFonts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项目内容：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8个行政村204户建房。</w:t>
      </w:r>
    </w:p>
    <w:p>
      <w:pPr>
        <w:spacing w:line="360" w:lineRule="auto"/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项目涉及范围</w:t>
      </w:r>
    </w:p>
    <w:p>
      <w:pPr>
        <w:ind w:firstLine="600" w:firstLineChars="200"/>
        <w:rPr>
          <w:rFonts w:hint="eastAsia" w:ascii="仿宋_GB2312" w:eastAsia="仿宋_GB2312" w:cs="Times New Roman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项目位于</w:t>
      </w:r>
      <w:r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  <w:t>巴润哈尔莫敦镇各村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（一）项目资金安排落实、总投入等情况分析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</w:rPr>
        <w:t>项目总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投资412.81</w:t>
      </w:r>
      <w:r>
        <w:rPr>
          <w:rFonts w:hint="eastAsia" w:ascii="仿宋_GB2312" w:eastAsia="仿宋_GB2312" w:cs="仿宋_GB2312"/>
          <w:sz w:val="30"/>
          <w:szCs w:val="30"/>
        </w:rPr>
        <w:t>万元，</w:t>
      </w:r>
      <w:r>
        <w:rPr>
          <w:rFonts w:ascii="仿宋_GB2312" w:eastAsia="仿宋_GB2312" w:cs="仿宋_GB2312"/>
          <w:sz w:val="30"/>
          <w:szCs w:val="30"/>
        </w:rPr>
        <w:t>201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拨款412.81万元</w:t>
      </w:r>
      <w:r>
        <w:rPr>
          <w:rFonts w:hint="eastAsia" w:ascii="仿宋_GB2312" w:eastAsia="仿宋_GB2312" w:cs="仿宋_GB2312"/>
          <w:sz w:val="30"/>
          <w:szCs w:val="30"/>
        </w:rPr>
        <w:t>均为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上级</w:t>
      </w:r>
      <w:r>
        <w:rPr>
          <w:rFonts w:hint="eastAsia" w:ascii="仿宋_GB2312" w:eastAsia="仿宋_GB2312" w:cs="仿宋_GB2312"/>
          <w:sz w:val="30"/>
          <w:szCs w:val="30"/>
        </w:rPr>
        <w:t>财政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拨款</w:t>
      </w:r>
      <w:r>
        <w:rPr>
          <w:rFonts w:hint="eastAsia" w:ascii="仿宋_GB2312" w:eastAsia="仿宋_GB2312" w:cs="仿宋_GB2312"/>
          <w:sz w:val="30"/>
          <w:szCs w:val="30"/>
        </w:rPr>
        <w:t>资金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eastAsia="仿宋_GB2312" w:cs="仿宋_GB2312"/>
          <w:sz w:val="30"/>
          <w:szCs w:val="30"/>
        </w:rPr>
        <w:t>到位资金全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部投</w:t>
      </w:r>
      <w:r>
        <w:rPr>
          <w:rFonts w:hint="eastAsia" w:ascii="仿宋_GB2312" w:eastAsia="仿宋_GB2312" w:cs="仿宋_GB2312"/>
          <w:sz w:val="30"/>
          <w:szCs w:val="30"/>
        </w:rPr>
        <w:t>入项目使用。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（二）项目资金实际使用情况分析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中标</w:t>
      </w:r>
      <w:r>
        <w:rPr>
          <w:rFonts w:hint="eastAsia" w:ascii="仿宋_GB2312" w:eastAsia="仿宋_GB2312" w:cs="仿宋_GB2312"/>
          <w:sz w:val="30"/>
          <w:szCs w:val="30"/>
        </w:rPr>
        <w:t>投资总额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412.81</w:t>
      </w:r>
      <w:r>
        <w:rPr>
          <w:rFonts w:hint="eastAsia" w:ascii="仿宋_GB2312" w:eastAsia="仿宋_GB2312" w:cs="仿宋_GB2312"/>
          <w:sz w:val="30"/>
          <w:szCs w:val="30"/>
        </w:rPr>
        <w:t>万元，主要用于项目工程施工费、设备费、其他费用等。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资金收支管理为国库集中支付，支付手续规范，资金管理总体符合财务管理制度。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（三）项目资金管理情况析</w:t>
      </w:r>
    </w:p>
    <w:p>
      <w:pPr>
        <w:ind w:firstLine="600" w:firstLineChars="20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专款专用，单独核算，项目法人对资金的使用负管理责任；严格按照项目管理的相关规定，统一资金管理，加强资金审计监督，建立按照项目施工进度拨付资金的内部控制制度，按工程进度拨款，保证项目实施的正常运行；建立健全项目会计核算制度，对项目资金实行全过程的财务管理与监督；严格项目资金竣工决算，规范项目的业绩考评和追踪问效，使项目资金合理、有效使用。</w:t>
      </w:r>
    </w:p>
    <w:p>
      <w:pPr>
        <w:ind w:firstLine="640" w:firstLineChars="200"/>
        <w:outlineLvl w:val="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（一）项目组织情况分析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项目组织情况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项目承担单位依据批复资金，按照《自治区整治项目管理暂行办法》等有关规定，依据《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中华人民共和国商标法</w:t>
      </w:r>
      <w:r>
        <w:rPr>
          <w:rFonts w:hint="eastAsia" w:ascii="仿宋_GB2312" w:eastAsia="仿宋_GB2312" w:cs="仿宋_GB2312"/>
          <w:sz w:val="30"/>
          <w:szCs w:val="30"/>
        </w:rPr>
        <w:t>》、九部委《工程建设项目施工招标办法》组织进行项目招标工作。项目承担单位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和静县巴润哈尔莫敦镇</w:t>
      </w:r>
      <w:r>
        <w:rPr>
          <w:rFonts w:hint="eastAsia" w:ascii="仿宋_GB2312" w:eastAsia="仿宋_GB2312" w:cs="仿宋_GB2312"/>
          <w:sz w:val="30"/>
          <w:szCs w:val="30"/>
        </w:rPr>
        <w:t>组织制定了招标工作方案。招标工作严格按照批准的招标工作方案执行。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项目调整情况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本项目不存在调整情况。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项目验收情况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本项目于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2018年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月实施，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已验收</w:t>
      </w:r>
      <w:r>
        <w:rPr>
          <w:rFonts w:hint="eastAsia" w:ascii="仿宋_GB2312" w:eastAsia="仿宋_GB2312" w:cs="仿宋_GB2312"/>
          <w:sz w:val="30"/>
          <w:szCs w:val="30"/>
        </w:rPr>
        <w:t>竣工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投入使用</w:t>
      </w:r>
      <w:r>
        <w:rPr>
          <w:rFonts w:hint="eastAsia" w:ascii="仿宋_GB2312" w:eastAsia="仿宋_GB2312" w:cs="仿宋_GB2312"/>
          <w:sz w:val="30"/>
          <w:szCs w:val="30"/>
        </w:rPr>
        <w:t>。</w:t>
      </w:r>
      <w:r>
        <w:rPr>
          <w:rFonts w:ascii="仿宋_GB2312" w:eastAsia="仿宋_GB2312" w:cs="Times New Roman"/>
          <w:sz w:val="30"/>
          <w:szCs w:val="30"/>
        </w:rPr>
        <w:t xml:space="preserve"> 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（二）项目管理情况分析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项目管理机构构建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  <w:lang w:eastAsia="zh-CN"/>
        </w:rPr>
        <w:t>和静县巴润哈尔莫敦镇人民政府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作为项目承担单位负责项目变更审批、项目合同段验收、项目实施的监督检查和各方协调、财务决算审计等工作；项目所在地和静县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仿宋_GB2312" w:eastAsia="仿宋_GB2312" w:cs="仿宋_GB2312"/>
          <w:sz w:val="30"/>
          <w:szCs w:val="30"/>
        </w:rPr>
        <w:t>作为实施单位负责项目的具体实施工作、分部验收工作等工作。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项目所在地县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镇</w:t>
      </w:r>
      <w:r>
        <w:rPr>
          <w:rFonts w:hint="eastAsia" w:ascii="仿宋_GB2312" w:eastAsia="仿宋_GB2312" w:cs="仿宋_GB2312"/>
          <w:sz w:val="30"/>
          <w:szCs w:val="30"/>
        </w:rPr>
        <w:t>专门成立了领导小组，负责在实施过程中的协调和重大事项的审批工作，领导小组由分管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</w:t>
      </w:r>
      <w:r>
        <w:rPr>
          <w:rFonts w:hint="eastAsia" w:ascii="仿宋_GB2312" w:eastAsia="仿宋_GB2312" w:cs="仿宋_GB2312"/>
          <w:sz w:val="30"/>
          <w:szCs w:val="30"/>
        </w:rPr>
        <w:t>工作的领导担任组长，</w:t>
      </w:r>
      <w:r>
        <w:rPr>
          <w:rFonts w:ascii="仿宋_GB2312" w:eastAsia="仿宋_GB2312" w:cs="仿宋_GB2312"/>
          <w:sz w:val="30"/>
          <w:szCs w:val="30"/>
        </w:rPr>
        <w:t xml:space="preserve"> </w:t>
      </w:r>
      <w:r>
        <w:rPr>
          <w:rFonts w:hint="eastAsia" w:ascii="仿宋_GB2312" w:eastAsia="仿宋_GB2312" w:cs="仿宋_GB2312"/>
          <w:sz w:val="30"/>
          <w:szCs w:val="30"/>
        </w:rPr>
        <w:t>成员由项目所在地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政府办公室、财政所</w:t>
      </w:r>
      <w:r>
        <w:rPr>
          <w:rFonts w:hint="eastAsia" w:ascii="仿宋_GB2312" w:eastAsia="仿宋_GB2312" w:cs="仿宋_GB2312"/>
          <w:sz w:val="30"/>
          <w:szCs w:val="30"/>
        </w:rPr>
        <w:t>、国土资源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所</w:t>
      </w:r>
      <w:r>
        <w:rPr>
          <w:rFonts w:hint="eastAsia" w:ascii="仿宋_GB2312" w:eastAsia="仿宋_GB2312" w:cs="仿宋_GB2312"/>
          <w:sz w:val="30"/>
          <w:szCs w:val="30"/>
        </w:rPr>
        <w:t>、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城建办</w:t>
      </w:r>
      <w:r>
        <w:rPr>
          <w:rFonts w:hint="eastAsia" w:ascii="仿宋_GB2312" w:eastAsia="仿宋_GB2312" w:cs="仿宋_GB2312"/>
          <w:sz w:val="30"/>
          <w:szCs w:val="30"/>
        </w:rPr>
        <w:t>、环保局等单位组成。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）项目管理制度保障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强化项目规范管理，从项目立项审批开始，到实施、竣工等工程建设的各个阶段，严格执行公告制、法人制、招标制、合同制、监理制、审计制、验收制等制度，明确目标责任，规范运作程序，确保公开透明，保障工程质量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）日常检查监督管理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为加强项目的有效监管，由承担单位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定期</w:t>
      </w:r>
      <w:r>
        <w:rPr>
          <w:rFonts w:hint="eastAsia" w:ascii="仿宋_GB2312" w:eastAsia="仿宋_GB2312" w:cs="仿宋_GB2312"/>
          <w:sz w:val="30"/>
          <w:szCs w:val="30"/>
        </w:rPr>
        <w:t>组织对项目组织管理与制度执行情况、项目规划设计和预算执行情况、项目建设工程任务完成情况、项目资金使用与管理情况、土地权属调整和农民权益维护情况、项目验收和后期管护情况、项目档案资料管理情况等内容开展专项检查或者不定期抽查，开展监督检查措施主要是内业检查、外业检查、质量跟踪、开展审计等措施，强化项目的动态监管，确保项目工程建设质量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（一）项目绩效目标完成情况分析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项目经济性分析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资金实行预算管理制度，专款专用，单独核算，项目法人对资金的使用负管理责任；严格按照项目管理的相关规定，统一资金管理。加强资金审计监督，建立按照项目施工进度拨付资金的内部控制制度，按工程进度拨款，保证项目实施的正常运行；建立健全项目会计核算制度和内部稽核制度，对项目资金实行全过程的财务管理与监督；严格项目资金竣工决算，规范项目的业绩考评和追踪问效，使项目资金合理、有效使用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项目效率性分析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项目的实施进度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在项目工程施工进度方面，按设计施工进度要求，各项工程建设任务达到预期目标。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项目的效益性分析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在社会效益方面，一是项目实施，吸纳了部分剩余劳动力，为当地群众解困和劳动力转移提供了就业机会，有效地减轻了就业压力，促进了当地社会的稳定。二是项目实施促进了项目区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为民办事效率，增进了党群、干群关系增加了凝聚力，改善</w:t>
      </w:r>
      <w:r>
        <w:rPr>
          <w:rFonts w:hint="eastAsia" w:ascii="仿宋_GB2312" w:eastAsia="仿宋_GB2312" w:cs="仿宋_GB2312"/>
          <w:sz w:val="30"/>
          <w:szCs w:val="30"/>
        </w:rPr>
        <w:t>了该地区的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人民满意度</w:t>
      </w:r>
      <w:r>
        <w:rPr>
          <w:rFonts w:hint="eastAsia" w:ascii="仿宋_GB2312" w:eastAsia="仿宋_GB2312" w:cs="仿宋_GB2312"/>
          <w:sz w:val="30"/>
          <w:szCs w:val="30"/>
        </w:rPr>
        <w:t>。</w:t>
      </w:r>
    </w:p>
    <w:p>
      <w:pPr>
        <w:spacing w:line="360" w:lineRule="auto"/>
        <w:ind w:firstLine="600" w:firstLineChars="20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在经济效益方面，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安居富民工程为村党组织带领群众发展产业、改善基础设施、促进群众增收致富搭建了平台。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4.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可持续性分析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通过本项目的实施，恢复和改善了区域环境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整洁</w:t>
      </w:r>
      <w:r>
        <w:rPr>
          <w:rFonts w:hint="eastAsia" w:ascii="仿宋_GB2312" w:eastAsia="仿宋_GB2312" w:cs="仿宋_GB2312"/>
          <w:sz w:val="30"/>
          <w:szCs w:val="30"/>
        </w:rPr>
        <w:t>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保障村民住房安全，</w:t>
      </w:r>
      <w:r>
        <w:rPr>
          <w:rFonts w:hint="eastAsia" w:ascii="仿宋_GB2312" w:eastAsia="仿宋_GB2312" w:cs="仿宋_GB2312"/>
          <w:sz w:val="30"/>
          <w:szCs w:val="30"/>
        </w:rPr>
        <w:t>表明本项目具有可持续性。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（二）项目绩效目标未完成原因分析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该项目建设期：２０１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月－２０１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 w:cs="仿宋_GB2312"/>
          <w:sz w:val="30"/>
          <w:szCs w:val="30"/>
        </w:rPr>
        <w:t>年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12</w:t>
      </w:r>
      <w:r>
        <w:rPr>
          <w:rFonts w:hint="eastAsia" w:ascii="仿宋_GB2312" w:eastAsia="仿宋_GB2312" w:cs="仿宋_GB2312"/>
          <w:sz w:val="30"/>
          <w:szCs w:val="30"/>
        </w:rPr>
        <w:t>月，目前已完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共投入使用</w:t>
      </w:r>
      <w:r>
        <w:rPr>
          <w:rFonts w:hint="eastAsia" w:ascii="仿宋_GB2312" w:eastAsia="仿宋_GB2312" w:cs="仿宋_GB2312"/>
          <w:sz w:val="30"/>
          <w:szCs w:val="30"/>
        </w:rPr>
        <w:t>，本项目目前基本完成了项目绩效目标。</w:t>
      </w:r>
    </w:p>
    <w:p>
      <w:pPr>
        <w:ind w:firstLine="640" w:firstLineChars="200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00" w:firstLineChars="200"/>
        <w:outlineLvl w:val="0"/>
        <w:rPr>
          <w:rFonts w:hint="eastAsia" w:asci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项目使用管理。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（二）主要经验做法、存在问题和建议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1.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主要经验做法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1</w:t>
      </w:r>
      <w:r>
        <w:rPr>
          <w:rFonts w:hint="eastAsia" w:ascii="仿宋_GB2312" w:eastAsia="仿宋_GB2312" w:cs="仿宋_GB2312"/>
          <w:sz w:val="30"/>
          <w:szCs w:val="30"/>
        </w:rPr>
        <w:t>）坚持依法规范化运作管理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前期，一定要手续合法、程序到位、运作规范。一是项目实施要有批准文件；二是要严格按照国家和自治区对国家重点项目的运作程序和要求，按照前期立项选址、测量、规划设计及预算编制、投资评审及修改完善、项目招标、工程监理、实施管理、竣工验收等环节程序进行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2</w:t>
      </w:r>
      <w:r>
        <w:rPr>
          <w:rFonts w:hint="eastAsia" w:ascii="仿宋_GB2312" w:eastAsia="仿宋_GB2312" w:cs="仿宋_GB2312"/>
          <w:sz w:val="30"/>
          <w:szCs w:val="30"/>
        </w:rPr>
        <w:t>）坚持不断优化规划设计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在规划设计过程中，一定要深入到项目区，做到规划设计科学合理、客观使用。在项目施工过程中，对规划设计方案中的一些不符合实际的设计，应根据实际情况，进行工程设计变更，并严格履行变更报批手续。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（</w:t>
      </w:r>
      <w:r>
        <w:rPr>
          <w:rFonts w:ascii="仿宋_GB2312" w:eastAsia="仿宋_GB2312" w:cs="仿宋_GB2312"/>
          <w:sz w:val="30"/>
          <w:szCs w:val="30"/>
        </w:rPr>
        <w:t>3</w:t>
      </w:r>
      <w:r>
        <w:rPr>
          <w:rFonts w:hint="eastAsia" w:ascii="仿宋_GB2312" w:eastAsia="仿宋_GB2312" w:cs="仿宋_GB2312"/>
          <w:sz w:val="30"/>
          <w:szCs w:val="30"/>
        </w:rPr>
        <w:t>）各相关部门通力协作、齐抓共管、发挥整体功能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项目实施要严格执行项目法人制、项目公告制、项目招投标制、项目监理制、项目合同制等五项制度。项目承担单位推行管理目标责任制，具体负责协调解决工程建设中的有关问题。监理单位负责对工程的进度、质量等情况进行监理，施工单位负责保时保质保量完成项目规划设计的目标。在项目资金使用与管理方面，严格按财务管理制度落实。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存在主要问题</w:t>
      </w:r>
    </w:p>
    <w:p>
      <w:pPr>
        <w:ind w:firstLine="64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eastAsia="方正仿宋_GBK"/>
          <w:color w:val="000000"/>
          <w:kern w:val="0"/>
          <w:sz w:val="32"/>
          <w:szCs w:val="32"/>
        </w:rPr>
        <w:t>（</w:t>
      </w:r>
      <w:r>
        <w:rPr>
          <w:rFonts w:hint="eastAsia" w:ascii="仿宋_GB2312" w:eastAsia="仿宋_GB2312" w:cs="仿宋_GB2312"/>
          <w:sz w:val="30"/>
          <w:szCs w:val="30"/>
        </w:rPr>
        <w:t>一）项目审批程序复杂，建设用地指标少、审批难，因各项手续多、周期长，在一定程度上影响了项目建设和资金支付进度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eastAsia="仿宋_GB2312" w:cs="仿宋_GB2312"/>
          <w:sz w:val="30"/>
          <w:szCs w:val="30"/>
        </w:rPr>
        <w:t>（二）村镇建设管理和专业技术人才相对缺乏，在工作协调等方面存在不足，影响了村镇建设的整体推进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 xml:space="preserve">（三）社会化融资渠道较为单一，社会资本投资由于受投资额度大、盈利能力弱、回收周期长、城镇人口少、小城镇规模小等因素的制约，参与新型城镇化建设项目的投资积极性不足。 </w:t>
      </w:r>
    </w:p>
    <w:p>
      <w:pPr>
        <w:ind w:firstLine="600" w:firstLineChars="200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3.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相关建议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加强与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县、乡</w:t>
      </w:r>
      <w:r>
        <w:rPr>
          <w:rFonts w:hint="eastAsia" w:ascii="仿宋_GB2312" w:eastAsia="仿宋_GB2312" w:cs="仿宋_GB2312"/>
          <w:sz w:val="30"/>
          <w:szCs w:val="30"/>
        </w:rPr>
        <w:t>和</w:t>
      </w:r>
      <w:r>
        <w:rPr>
          <w:rFonts w:hint="eastAsia" w:ascii="仿宋_GB2312" w:eastAsia="仿宋_GB2312" w:cs="仿宋_GB2312"/>
          <w:sz w:val="30"/>
          <w:szCs w:val="30"/>
          <w:lang w:val="en-US" w:eastAsia="zh-CN"/>
        </w:rPr>
        <w:t>施工单位</w:t>
      </w:r>
      <w:r>
        <w:rPr>
          <w:rFonts w:hint="eastAsia" w:ascii="仿宋_GB2312" w:eastAsia="仿宋_GB2312" w:cs="仿宋_GB2312"/>
          <w:sz w:val="30"/>
          <w:szCs w:val="30"/>
        </w:rPr>
        <w:t>的协调沟通，施工单位加强施工原料储备，加强协调组织和技术力量，合理调整施工进度，在可施工时段内合理有序的加快施工进度，保证项目按时保质完成。</w:t>
      </w:r>
    </w:p>
    <w:p>
      <w:pPr>
        <w:tabs>
          <w:tab w:val="left" w:pos="1050"/>
        </w:tabs>
        <w:ind w:firstLine="600"/>
        <w:outlineLvl w:val="0"/>
        <w:rPr>
          <w:rFonts w:ascii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0" w:name="_Toc493765640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（一）绩效评价设计过程</w:t>
      </w:r>
      <w:bookmarkEnd w:id="0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评价小组在项目竣工后全面审核项目相关资料的基础上，通过对项目实施的检查评价，从而完成对整体项目的分析、总结得出评价结论。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黑体" w:eastAsia="仿宋_GB2312" w:cs="Times New Roman"/>
          <w:b/>
          <w:bCs/>
          <w:sz w:val="32"/>
          <w:szCs w:val="32"/>
        </w:rPr>
      </w:pPr>
      <w:bookmarkStart w:id="1" w:name="_Toc493765641"/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（二）项目绩效评价原则和方法</w:t>
      </w:r>
      <w:bookmarkEnd w:id="1"/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本次绩效评价结合实际情况，按照设定的绩效目标，运用科学、合理的评价方法等，对项目的投入、过程、产出、效果的各个方面进行客观、公正地评价，侧重评价项目的产出及其效果。本次绩效评价主要采用比较法，即通过对绩效目标与实施效果比较，综合分析绩效目标实现程度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黑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 w:cs="仿宋_GB2312"/>
          <w:b/>
          <w:bCs/>
          <w:sz w:val="32"/>
          <w:szCs w:val="32"/>
        </w:rPr>
        <w:t>（三）评价结果</w:t>
      </w: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  <w:r>
        <w:rPr>
          <w:rFonts w:hint="eastAsia" w:ascii="Times New Roman" w:hAnsi="Times New Roman" w:eastAsia="仿宋_GB2312" w:cs="仿宋_GB2312"/>
          <w:sz w:val="30"/>
          <w:szCs w:val="30"/>
        </w:rPr>
        <w:t>本次项目绩效评价结果为良。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0"/>
          <w:szCs w:val="30"/>
        </w:rPr>
        <w:t>《</w:t>
      </w:r>
      <w:r>
        <w:rPr>
          <w:rFonts w:hint="eastAsia" w:ascii="Times New Roman" w:hAnsi="Times New Roman" w:eastAsia="仿宋_GB2312" w:cs="仿宋_GB2312"/>
          <w:sz w:val="30"/>
          <w:szCs w:val="30"/>
          <w:lang w:val="en-US" w:eastAsia="zh-CN"/>
        </w:rPr>
        <w:t>巴润哈尔莫敦镇人民政府</w:t>
      </w:r>
      <w:r>
        <w:rPr>
          <w:rFonts w:hint="eastAsia" w:ascii="Times New Roman" w:hAnsi="Times New Roman" w:eastAsia="仿宋_GB2312" w:cs="仿宋_GB2312"/>
          <w:sz w:val="30"/>
          <w:szCs w:val="30"/>
        </w:rPr>
        <w:t>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ind w:firstLine="600" w:firstLineChars="200"/>
        <w:rPr>
          <w:rFonts w:hint="eastAsia" w:ascii="Times New Roman" w:hAnsi="Times New Roman" w:eastAsia="仿宋_GB2312" w:cs="仿宋_GB2312"/>
          <w:sz w:val="30"/>
          <w:szCs w:val="30"/>
        </w:rPr>
      </w:pP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</w:p>
    <w:p>
      <w:pPr>
        <w:ind w:firstLine="640" w:firstLineChars="200"/>
        <w:rPr>
          <w:rFonts w:ascii="宋体" w:cs="Times New Roman"/>
          <w:b/>
          <w:bCs/>
          <w:color w:val="333333"/>
          <w:sz w:val="32"/>
          <w:szCs w:val="32"/>
          <w:shd w:val="clear" w:color="auto" w:fill="FFFFFF"/>
        </w:rPr>
        <w:sectPr>
          <w:footerReference r:id="rId5" w:type="default"/>
          <w:pgSz w:w="11906" w:h="16838"/>
          <w:pgMar w:top="2098" w:right="1474" w:bottom="1985" w:left="1588" w:header="851" w:footer="992" w:gutter="0"/>
          <w:cols w:space="425" w:num="1"/>
          <w:docGrid w:type="linesAndChars" w:linePitch="312" w:charSpace="0"/>
        </w:sectPr>
      </w:pPr>
    </w:p>
    <w:p>
      <w:pPr>
        <w:widowControl/>
        <w:jc w:val="center"/>
        <w:rPr>
          <w:rFonts w:hint="eastAsia" w:ascii="宋体" w:hAnsi="宋体" w:cs="宋体"/>
          <w:kern w:val="0"/>
          <w:sz w:val="20"/>
          <w:szCs w:val="20"/>
        </w:rPr>
      </w:pPr>
    </w:p>
    <w:sectPr>
      <w:footerReference r:id="rId6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 w:cs="Times New Roman"/>
        <w:sz w:val="21"/>
        <w:szCs w:val="21"/>
      </w:rPr>
    </w:pP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 xml:space="preserve">PAGE   \* MERGEFORMAT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rPr>
        <w:rFonts w:ascii="Times New Roman" w:hAnsi="Times New Roman" w:cs="Times New Roman"/>
        <w:sz w:val="21"/>
        <w:szCs w:val="21"/>
        <w:lang w:val="zh-CN"/>
      </w:rPr>
      <w:t>11</w:t>
    </w:r>
    <w:r>
      <w:rPr>
        <w:rFonts w:ascii="Times New Roman" w:hAnsi="Times New Roman" w:cs="Times New Roman"/>
        <w:sz w:val="21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979A95"/>
    <w:multiLevelType w:val="singleLevel"/>
    <w:tmpl w:val="7F979A9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MjA0MGM5MTIzMGI3YzZhNWY5Zjk1YjRhMWM5MGUifQ=="/>
  </w:docVars>
  <w:rsids>
    <w:rsidRoot w:val="00000000"/>
    <w:rsid w:val="01B37772"/>
    <w:rsid w:val="063552CE"/>
    <w:rsid w:val="06D72C5F"/>
    <w:rsid w:val="06E221B7"/>
    <w:rsid w:val="08E54008"/>
    <w:rsid w:val="0A90603F"/>
    <w:rsid w:val="11CB5F62"/>
    <w:rsid w:val="12621192"/>
    <w:rsid w:val="139F6328"/>
    <w:rsid w:val="1BFC326A"/>
    <w:rsid w:val="210F20DE"/>
    <w:rsid w:val="28C75F7A"/>
    <w:rsid w:val="2C965EB5"/>
    <w:rsid w:val="390B4D23"/>
    <w:rsid w:val="40056AA6"/>
    <w:rsid w:val="4376008F"/>
    <w:rsid w:val="481250AB"/>
    <w:rsid w:val="640E77B9"/>
    <w:rsid w:val="65CB5B63"/>
    <w:rsid w:val="699840AD"/>
    <w:rsid w:val="6E385AC1"/>
    <w:rsid w:val="6E8F4648"/>
    <w:rsid w:val="72785CA3"/>
    <w:rsid w:val="72BC3DBB"/>
    <w:rsid w:val="7E11046A"/>
    <w:rsid w:val="7F63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qq</dc:creator>
  <cp:lastModifiedBy>布舵</cp:lastModifiedBy>
  <dcterms:modified xsi:type="dcterms:W3CDTF">2023-12-18T05:55:15Z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CD351FE4E3B947CBBEA7780B8C2E8F35_12</vt:lpwstr>
  </property>
</Properties>
</file>