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</w:pPr>
      <w:bookmarkStart w:id="0" w:name="_GoBack"/>
      <w:bookmarkEnd w:id="0"/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none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none"/>
        </w:rPr>
        <w:t>新疆巴州和静县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none"/>
          <w:lang w:val="en-US" w:eastAsia="zh-CN"/>
        </w:rPr>
        <w:t>巴润哈尔莫敦镇人民政府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none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移民补助及拜勒其尔村路灯项目</w:t>
      </w: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和静县巴润哈尔莫墩镇人民政府</w:t>
      </w: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和静县人民政府</w:t>
      </w: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李鹏</w:t>
      </w: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23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ind w:firstLine="640" w:firstLineChars="200"/>
        <w:outlineLvl w:val="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hint="eastAsia" w:ascii="仿宋_GB2312" w:hAnsi="黑体" w:eastAsia="仿宋_GB2312" w:cs="仿宋_GB2312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（一）项目单位基本情况</w:t>
      </w:r>
    </w:p>
    <w:p>
      <w:pPr>
        <w:spacing w:line="360" w:lineRule="auto"/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和静县巴润哈尔莫敦镇（其前身是上游公社，成立于1950年4月，1998年11月撤乡建镇）2015年是全国小城镇建设示范试点镇，着重建设成规划科学、经济发展、功能完善、特色鲜明、宜居宜业，具有较强人口和产业聚集能力、能够发挥较强辐射带动作用的建制镇承担小城镇建设示范试点镇</w:t>
      </w:r>
      <w:r>
        <w:rPr>
          <w:rFonts w:hint="eastAsia" w:ascii="仿宋_GB2312" w:eastAsia="仿宋_GB2312" w:cs="仿宋_GB2312"/>
          <w:sz w:val="30"/>
          <w:szCs w:val="30"/>
        </w:rPr>
        <w:t>组织实施与管理职责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（二）项目年度预算绩效目标、绩效指标设定情况</w:t>
      </w:r>
    </w:p>
    <w:p>
      <w:pPr>
        <w:spacing w:line="360" w:lineRule="auto"/>
        <w:ind w:firstLine="600" w:firstLineChars="200"/>
        <w:rPr>
          <w:rFonts w:hint="eastAsia" w:asci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</w:rPr>
        <w:t>通过实施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拜勒其尔村路灯</w:t>
      </w:r>
      <w:r>
        <w:rPr>
          <w:rFonts w:hint="eastAsia" w:ascii="仿宋_GB2312" w:eastAsia="仿宋_GB2312" w:cs="仿宋_GB2312"/>
          <w:sz w:val="30"/>
          <w:szCs w:val="30"/>
        </w:rPr>
        <w:t>项目：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使我镇水库移民安置点群众晚上出行方便，文化活动丰富多彩。太阳能灯安装及移民生活补助，努力提高民生工程形象，提高群众的知晓率、满意度，路灯建设为村级组织群众文化活动、改善环境、促进群众生活质量提高搭建了平台。</w:t>
      </w:r>
    </w:p>
    <w:p>
      <w:pPr>
        <w:ind w:firstLine="640" w:firstLineChars="200"/>
        <w:outlineLvl w:val="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（一）项目资金安排落实、总投入等情况分析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2018年</w:t>
      </w:r>
      <w:r>
        <w:rPr>
          <w:rFonts w:hint="eastAsia" w:ascii="仿宋_GB2312" w:eastAsia="仿宋_GB2312" w:cs="仿宋_GB2312"/>
          <w:sz w:val="30"/>
          <w:szCs w:val="30"/>
        </w:rPr>
        <w:t>项目总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投资18.66</w:t>
      </w:r>
      <w:r>
        <w:rPr>
          <w:rFonts w:hint="eastAsia" w:ascii="仿宋_GB2312" w:eastAsia="仿宋_GB2312" w:cs="仿宋_GB2312"/>
          <w:sz w:val="30"/>
          <w:szCs w:val="30"/>
        </w:rPr>
        <w:t>万元，下达资金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4.28</w:t>
      </w:r>
      <w:r>
        <w:rPr>
          <w:rFonts w:hint="eastAsia" w:ascii="仿宋_GB2312" w:eastAsia="仿宋_GB2312" w:cs="仿宋_GB2312"/>
          <w:sz w:val="30"/>
          <w:szCs w:val="30"/>
        </w:rPr>
        <w:t>万元，到位资金全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部投</w:t>
      </w:r>
      <w:r>
        <w:rPr>
          <w:rFonts w:hint="eastAsia" w:ascii="仿宋_GB2312" w:eastAsia="仿宋_GB2312" w:cs="仿宋_GB2312"/>
          <w:sz w:val="30"/>
          <w:szCs w:val="30"/>
        </w:rPr>
        <w:t>入项目使用。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（二）项目资金实际使用情况分析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拨款</w:t>
      </w:r>
      <w:r>
        <w:rPr>
          <w:rFonts w:hint="eastAsia" w:ascii="仿宋_GB2312" w:eastAsia="仿宋_GB2312" w:cs="仿宋_GB2312"/>
          <w:sz w:val="30"/>
          <w:szCs w:val="30"/>
        </w:rPr>
        <w:t>总额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18.66</w:t>
      </w:r>
      <w:r>
        <w:rPr>
          <w:rFonts w:hint="eastAsia" w:ascii="仿宋_GB2312" w:eastAsia="仿宋_GB2312" w:cs="仿宋_GB2312"/>
          <w:sz w:val="30"/>
          <w:szCs w:val="30"/>
        </w:rPr>
        <w:t>万元，主要用于项目工程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移民生活补助、</w:t>
      </w:r>
      <w:r>
        <w:rPr>
          <w:rFonts w:hint="eastAsia" w:ascii="仿宋_GB2312" w:eastAsia="仿宋_GB2312" w:cs="仿宋_GB2312"/>
          <w:sz w:val="30"/>
          <w:szCs w:val="30"/>
        </w:rPr>
        <w:t>施工费、设备费、其他费用等。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资金收支管理为国库集中支付，支付手续规范，资金管理总体符合财务管理制度。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（三）项目资金管理情况析</w:t>
      </w:r>
    </w:p>
    <w:p>
      <w:pPr>
        <w:ind w:firstLine="600" w:firstLineChars="20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eastAsia="仿宋_GB2312" w:cs="仿宋_GB2312"/>
          <w:sz w:val="30"/>
          <w:szCs w:val="30"/>
        </w:rPr>
        <w:t>项目资金实行专款专用，单独核算，项目法人对资金的使用负管理责任；严格按照项目管理的相关规定，统一资金管理，加强资金审计监督，建立按照项目施工进度拨付资金的内部控制制度，按工程进度拨款，保证项目实施的正常运行；建立健全项目会计核算制度，对项目资金实行全过程的财务管理与监督；严格项目资金竣工决算，规范项目的业绩考评和追踪问效，使项目资金合理、有效使用。</w:t>
      </w:r>
    </w:p>
    <w:p>
      <w:pPr>
        <w:ind w:firstLine="640" w:firstLineChars="200"/>
        <w:outlineLvl w:val="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（一）项目组织情况分析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eastAsia="仿宋_GB2312" w:cs="仿宋_GB2312"/>
          <w:sz w:val="30"/>
          <w:szCs w:val="30"/>
        </w:rPr>
        <w:t>项目承担单位依据批复资金，按照《自治区整治项目管理暂行办法》等有关规定，依据《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中华人民共和国商标法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》、九部委《工程建设项目施工招标办法》组织进行项目招标工作。项目承担单位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和静县巴润哈尔莫敦镇</w:t>
      </w:r>
      <w:r>
        <w:rPr>
          <w:rFonts w:hint="eastAsia" w:ascii="仿宋_GB2312" w:eastAsia="仿宋_GB2312" w:cs="仿宋_GB2312"/>
          <w:sz w:val="30"/>
          <w:szCs w:val="30"/>
        </w:rPr>
        <w:t>组织制定了招标工作方案。招标工作严格按照批准的招标工作方案执行。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（二）项目管理情况分析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  <w:lang w:eastAsia="zh-CN"/>
        </w:rPr>
        <w:t>和静县巴润哈尔莫敦镇人民政府</w:t>
      </w:r>
      <w:r>
        <w:rPr>
          <w:rFonts w:hint="eastAsia" w:ascii="仿宋_GB2312" w:eastAsia="仿宋_GB2312" w:cs="仿宋_GB2312"/>
          <w:sz w:val="30"/>
          <w:szCs w:val="30"/>
        </w:rPr>
        <w:t>作为项目承担单位负责项目变更审批、项目合同段验收、项目实施的监督检查和各方协调、财务决算审计等工作；项目所在地和静县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巴润哈尔莫敦镇人民政府</w:t>
      </w:r>
      <w:r>
        <w:rPr>
          <w:rFonts w:hint="eastAsia" w:ascii="仿宋_GB2312" w:eastAsia="仿宋_GB2312" w:cs="仿宋_GB2312"/>
          <w:sz w:val="30"/>
          <w:szCs w:val="30"/>
        </w:rPr>
        <w:t>作为实施单位负责项目的具体实施工作、分部验收工作等工作。</w:t>
      </w:r>
    </w:p>
    <w:p>
      <w:pPr>
        <w:ind w:firstLine="640" w:firstLineChars="200"/>
        <w:outlineLvl w:val="0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（一）项目绩效目标完成情况分析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在项目工程施工进度方面，按设计施工进度要求，各项工程建设任务达到预期目标。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（二）项目绩效目标未完成原因分析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该项目建设期：２０１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8</w:t>
      </w:r>
      <w:r>
        <w:rPr>
          <w:rFonts w:hint="eastAsia" w:ascii="仿宋_GB2312" w:eastAsia="仿宋_GB2312" w:cs="仿宋_GB2312"/>
          <w:sz w:val="30"/>
          <w:szCs w:val="30"/>
        </w:rPr>
        <w:t>年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eastAsia="仿宋_GB2312" w:cs="仿宋_GB2312"/>
          <w:sz w:val="30"/>
          <w:szCs w:val="30"/>
        </w:rPr>
        <w:t>月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-8</w:t>
      </w:r>
      <w:r>
        <w:rPr>
          <w:rFonts w:hint="eastAsia" w:ascii="仿宋_GB2312" w:eastAsia="仿宋_GB2312" w:cs="仿宋_GB2312"/>
          <w:sz w:val="30"/>
          <w:szCs w:val="30"/>
        </w:rPr>
        <w:t>月，目前已完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工投入使用</w:t>
      </w:r>
      <w:r>
        <w:rPr>
          <w:rFonts w:hint="eastAsia" w:ascii="仿宋_GB2312" w:eastAsia="仿宋_GB2312" w:cs="仿宋_GB2312"/>
          <w:sz w:val="30"/>
          <w:szCs w:val="30"/>
        </w:rPr>
        <w:t>，本项目目前基本完成了项目绩效目标。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hint="eastAsia" w:ascii="仿宋_GB2312" w:hAnsi="黑体" w:eastAsia="仿宋_GB2312" w:cs="仿宋_GB2312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00" w:firstLineChars="200"/>
        <w:outlineLvl w:val="0"/>
        <w:rPr>
          <w:rFonts w:hint="eastAsia" w:asci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项目使用管理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hint="eastAsia" w:ascii="仿宋_GB2312" w:hAnsi="黑体" w:eastAsia="仿宋_GB2312" w:cs="仿宋_GB2312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43" w:firstLineChars="181"/>
        <w:rPr>
          <w:rFonts w:hint="eastAsia"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实施前期，一定要手续合法、程序到位、运作规范。一是项目实施要有批准文件；二是要严格按照国家和自治区对国家重点项目的运作程序和要求，按照前期立项选址、测量、规划设计及预算编制、投资评审及修改完善、项目招标、工程监理、实施管理、竣工验收等环节程序进行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hint="eastAsia" w:ascii="仿宋_GB2312" w:hAnsi="黑体" w:eastAsia="仿宋_GB2312" w:cs="仿宋_GB2312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（三）其他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>
      <w:pPr>
        <w:spacing w:line="540" w:lineRule="exact"/>
        <w:ind w:firstLine="640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巴润哈尔莫敦镇人民政府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  <w:t>财政项目支出绩效自评表》</w:t>
      </w: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  <w:ind w:firstLine="643" w:firstLineChars="200"/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</w:pPr>
    </w:p>
    <w:p>
      <w:pPr>
        <w:widowControl/>
        <w:jc w:val="center"/>
        <w:rPr>
          <w:rFonts w:hint="eastAsia" w:ascii="宋体" w:hAnsi="宋体" w:cs="宋体"/>
          <w:kern w:val="0"/>
          <w:sz w:val="20"/>
          <w:szCs w:val="20"/>
        </w:rPr>
      </w:pPr>
    </w:p>
    <w:sectPr>
      <w:footerReference r:id="rId5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zMjA0MGM5MTIzMGI3YzZhNWY5Zjk1YjRhMWM5MGUifQ=="/>
  </w:docVars>
  <w:rsids>
    <w:rsidRoot w:val="00000000"/>
    <w:rsid w:val="06E221B7"/>
    <w:rsid w:val="08E54008"/>
    <w:rsid w:val="094E6BA3"/>
    <w:rsid w:val="0A90603F"/>
    <w:rsid w:val="0AE81B93"/>
    <w:rsid w:val="0B707327"/>
    <w:rsid w:val="0BC73649"/>
    <w:rsid w:val="14607C46"/>
    <w:rsid w:val="195C3A72"/>
    <w:rsid w:val="1BFC326A"/>
    <w:rsid w:val="1F7D658D"/>
    <w:rsid w:val="210F20DE"/>
    <w:rsid w:val="218203AD"/>
    <w:rsid w:val="238839D9"/>
    <w:rsid w:val="292323E9"/>
    <w:rsid w:val="2A0C2072"/>
    <w:rsid w:val="2C4C02FD"/>
    <w:rsid w:val="2D265ED7"/>
    <w:rsid w:val="327264F0"/>
    <w:rsid w:val="35B525F1"/>
    <w:rsid w:val="36D470F5"/>
    <w:rsid w:val="3B8F3CD5"/>
    <w:rsid w:val="3DEF33F3"/>
    <w:rsid w:val="3EC05A28"/>
    <w:rsid w:val="3F4676FD"/>
    <w:rsid w:val="43810961"/>
    <w:rsid w:val="43CB429D"/>
    <w:rsid w:val="43EB4272"/>
    <w:rsid w:val="481250AB"/>
    <w:rsid w:val="48B813E4"/>
    <w:rsid w:val="4C8A1924"/>
    <w:rsid w:val="628F60E7"/>
    <w:rsid w:val="674D4331"/>
    <w:rsid w:val="69B327E9"/>
    <w:rsid w:val="6CEE2BD2"/>
    <w:rsid w:val="6DFC270A"/>
    <w:rsid w:val="6F255634"/>
    <w:rsid w:val="702B26E6"/>
    <w:rsid w:val="71B87381"/>
    <w:rsid w:val="72785CA3"/>
    <w:rsid w:val="72797314"/>
    <w:rsid w:val="75100CF0"/>
    <w:rsid w:val="783F4075"/>
    <w:rsid w:val="79DB55A6"/>
    <w:rsid w:val="7CA1129E"/>
    <w:rsid w:val="7D1E5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styleId="5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qq</dc:creator>
  <cp:lastModifiedBy>布舵</cp:lastModifiedBy>
  <dcterms:modified xsi:type="dcterms:W3CDTF">2023-12-18T05:52:11Z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E1C44B7447DC4B41B8DC95566E8D8BFC_12</vt:lpwstr>
  </property>
</Properties>
</file>