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方正小标宋_GBK" w:hAnsi="STZhongsong" w:eastAsia="方正小标宋_GBK" w:cs="宋体"/>
          <w:b/>
          <w:kern w:val="0"/>
          <w:sz w:val="48"/>
          <w:szCs w:val="48"/>
        </w:rPr>
      </w:pPr>
      <w:r>
        <w:rPr>
          <w:rFonts w:hint="eastAsia" w:ascii="方正小标宋_GBK" w:hAnsi="STZhongsong" w:eastAsia="方正小标宋_GBK" w:cs="宋体"/>
          <w:b/>
          <w:kern w:val="0"/>
          <w:sz w:val="48"/>
          <w:szCs w:val="48"/>
          <w:u w:val="single"/>
        </w:rPr>
        <w:t>新疆维吾尔自治区巴州和静县</w:t>
      </w:r>
      <w:r>
        <w:rPr>
          <w:rFonts w:hint="eastAsia" w:ascii="方正小标宋_GBK" w:hAnsi="STZhongsong" w:eastAsia="方正小标宋_GBK" w:cs="宋体"/>
          <w:b/>
          <w:kern w:val="0"/>
          <w:sz w:val="48"/>
          <w:szCs w:val="48"/>
        </w:rPr>
        <w:t>财政项目支出绩效自评报告</w:t>
      </w:r>
    </w:p>
    <w:p>
      <w:pPr>
        <w:spacing w:line="540" w:lineRule="exact"/>
        <w:jc w:val="center"/>
        <w:rPr>
          <w:rFonts w:ascii="STZhongsong" w:hAnsi="STZhongsong" w:eastAsia="STZhongsong"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380" w:lineRule="exact"/>
        <w:jc w:val="center"/>
        <w:rPr>
          <w:rFonts w:ascii="仿宋" w:hAnsi="仿宋" w:eastAsia="仿宋"/>
          <w:b/>
          <w:sz w:val="32"/>
          <w:szCs w:val="32"/>
        </w:rPr>
      </w:pPr>
      <w:r>
        <w:rPr>
          <w:rFonts w:hint="eastAsia" w:hAnsi="宋体" w:eastAsia="仿宋_GB2312" w:cs="宋体"/>
          <w:kern w:val="0"/>
          <w:sz w:val="36"/>
          <w:szCs w:val="36"/>
        </w:rPr>
        <w:t>项目名称：</w:t>
      </w:r>
      <w:r>
        <w:rPr>
          <w:rFonts w:ascii="仿宋" w:hAnsi="仿宋" w:eastAsia="仿宋"/>
          <w:b/>
          <w:sz w:val="32"/>
          <w:szCs w:val="32"/>
        </w:rPr>
        <w:t>和静县纳依特沟小流域下游克尔古提乡</w:t>
      </w:r>
    </w:p>
    <w:p>
      <w:pPr>
        <w:spacing w:line="380" w:lineRule="exact"/>
        <w:jc w:val="center"/>
        <w:rPr>
          <w:rFonts w:ascii="仿宋" w:hAnsi="仿宋" w:eastAsia="仿宋"/>
          <w:b/>
          <w:sz w:val="32"/>
          <w:szCs w:val="32"/>
        </w:rPr>
      </w:pPr>
      <w:r>
        <w:rPr>
          <w:rFonts w:hint="eastAsia" w:ascii="仿宋" w:hAnsi="仿宋" w:eastAsia="仿宋"/>
          <w:b/>
          <w:sz w:val="32"/>
          <w:szCs w:val="32"/>
        </w:rPr>
        <w:t xml:space="preserve">    </w:t>
      </w:r>
      <w:r>
        <w:rPr>
          <w:rFonts w:ascii="仿宋" w:hAnsi="仿宋" w:eastAsia="仿宋"/>
          <w:b/>
          <w:sz w:val="32"/>
          <w:szCs w:val="32"/>
        </w:rPr>
        <w:t>项目区水土保持综合治理工程</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填报时间：2019年2月15日</w:t>
      </w:r>
    </w:p>
    <w:p>
      <w:pPr>
        <w:spacing w:line="540" w:lineRule="exact"/>
        <w:jc w:val="center"/>
        <w:rPr>
          <w:rFonts w:hAnsi="宋体" w:eastAsia="仿宋_GB2312" w:cs="宋体"/>
          <w:kern w:val="0"/>
          <w:sz w:val="30"/>
          <w:szCs w:val="30"/>
        </w:rPr>
      </w:pPr>
    </w:p>
    <w:p>
      <w:pPr>
        <w:spacing w:line="540" w:lineRule="exact"/>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（一）项目基本情况</w:t>
      </w:r>
    </w:p>
    <w:p>
      <w:pPr>
        <w:ind w:firstLine="560"/>
        <w:rPr>
          <w:rFonts w:ascii="仿宋" w:hAnsi="仿宋" w:eastAsia="仿宋"/>
          <w:bCs/>
          <w:kern w:val="0"/>
          <w:sz w:val="32"/>
          <w:szCs w:val="32"/>
        </w:rPr>
      </w:pPr>
      <w:r>
        <w:rPr>
          <w:rFonts w:hint="eastAsia"/>
          <w:sz w:val="28"/>
          <w:szCs w:val="28"/>
        </w:rPr>
        <w:tab/>
      </w:r>
      <w:r>
        <w:rPr>
          <w:rFonts w:hint="eastAsia" w:ascii="方正仿宋_GBK" w:hAnsi="方正仿宋_GBK" w:eastAsia="方正仿宋_GBK" w:cs="方正仿宋_GBK"/>
          <w:sz w:val="32"/>
          <w:szCs w:val="32"/>
        </w:rPr>
        <w:t>1、项目背景：</w:t>
      </w:r>
      <w:r>
        <w:rPr>
          <w:rFonts w:hint="eastAsia" w:ascii="仿宋" w:hAnsi="仿宋" w:eastAsia="仿宋"/>
          <w:bCs/>
          <w:kern w:val="0"/>
          <w:sz w:val="32"/>
          <w:szCs w:val="32"/>
        </w:rPr>
        <w:t>和静县纳依特沟小流域下游克尔古提乡项目区水土保持综合治理工程位于巴州和静县克尔古提乡浩尔哈特村及那英特村，地理坐标为东经86°51'21.99"～86°53'56.79"，北纬42°36'02.88"～42°32'40.24</w:t>
      </w:r>
      <w:r>
        <w:rPr>
          <w:rFonts w:hint="eastAsia" w:ascii="仿宋" w:hAnsi="仿宋" w:eastAsia="仿宋"/>
          <w:bCs/>
          <w:kern w:val="0"/>
          <w:sz w:val="32"/>
          <w:szCs w:val="32"/>
          <w:lang w:eastAsia="zh-CN"/>
        </w:rPr>
        <w:t>。</w:t>
      </w:r>
      <w:r>
        <w:rPr>
          <w:rFonts w:hint="eastAsia" w:ascii="仿宋" w:hAnsi="仿宋" w:eastAsia="仿宋"/>
          <w:bCs/>
          <w:kern w:val="0"/>
          <w:sz w:val="32"/>
          <w:szCs w:val="32"/>
        </w:rPr>
        <w:t>项目区北至那英特村以北约3.5km处，南至那英特村以南沿河谷约</w:t>
      </w:r>
      <w:bookmarkStart w:id="3" w:name="_GoBack"/>
      <w:bookmarkEnd w:id="3"/>
      <w:r>
        <w:rPr>
          <w:rFonts w:hint="eastAsia" w:ascii="仿宋" w:hAnsi="仿宋" w:eastAsia="仿宋"/>
          <w:bCs/>
          <w:kern w:val="0"/>
          <w:sz w:val="32"/>
          <w:szCs w:val="32"/>
        </w:rPr>
        <w:t>3.6km处，东西两侧均为河谷的山体，最宽距离约为3km，最窄距离约为0.5km，整个项目区呈“Y”</w:t>
      </w:r>
      <w:r>
        <w:rPr>
          <w:rFonts w:hint="eastAsia" w:ascii="仿宋" w:hAnsi="仿宋" w:eastAsia="仿宋"/>
          <w:bCs/>
          <w:kern w:val="0"/>
          <w:sz w:val="32"/>
          <w:szCs w:val="32"/>
          <w:lang w:eastAsia="zh-CN"/>
        </w:rPr>
        <w:t>字形</w:t>
      </w:r>
      <w:r>
        <w:rPr>
          <w:rFonts w:hint="eastAsia" w:ascii="仿宋" w:hAnsi="仿宋" w:eastAsia="仿宋"/>
          <w:bCs/>
          <w:kern w:val="0"/>
          <w:sz w:val="32"/>
          <w:szCs w:val="32"/>
        </w:rPr>
        <w:t>，东西侧靠山，中间为河谷地。项目区距克尔古提乡乡政府15km，距和静县约83km，距库尔勒市约170km。项目范围涉及1个县（和静县），1个乡（克尔古提乡），2个村（那英特村和浩尔哈特村）。</w:t>
      </w:r>
    </w:p>
    <w:p>
      <w:pPr>
        <w:ind w:firstLine="560"/>
        <w:rPr>
          <w:rFonts w:ascii="仿宋" w:hAnsi="仿宋" w:eastAsia="仿宋"/>
          <w:bCs/>
          <w:kern w:val="0"/>
          <w:sz w:val="32"/>
          <w:szCs w:val="32"/>
        </w:rPr>
      </w:pPr>
      <w:r>
        <w:rPr>
          <w:rFonts w:hint="eastAsia" w:ascii="仿宋" w:hAnsi="仿宋" w:eastAsia="仿宋"/>
          <w:bCs/>
          <w:kern w:val="0"/>
          <w:sz w:val="32"/>
          <w:szCs w:val="32"/>
        </w:rPr>
        <w:t>项目区位于纳依特沟小流域下游，南疆铁路和314国道以北。工程区位于清水河出山口上游支流乌特艾肯沟与纳依特沟交汇处，工程布置于纳依特沟及乌特艾肯沟。纳依特沟及乌特艾肯沟在流域山区内，属中天山支脉的天格尔山南麓，海拔高程为1900～4300m，纳依特沟及乌特艾肯沟高程为2500～4300m的地带有高山平原地形，该地形中有冰川、槽谷等。</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2、建设内容：</w:t>
      </w:r>
    </w:p>
    <w:p>
      <w:pPr>
        <w:ind w:firstLine="560"/>
        <w:rPr>
          <w:rFonts w:ascii="仿宋" w:hAnsi="仿宋" w:eastAsia="仿宋"/>
          <w:bCs/>
          <w:kern w:val="0"/>
          <w:sz w:val="32"/>
          <w:szCs w:val="32"/>
        </w:rPr>
      </w:pPr>
      <w:r>
        <w:rPr>
          <w:rFonts w:hint="eastAsia" w:ascii="仿宋" w:hAnsi="仿宋" w:eastAsia="仿宋"/>
          <w:bCs/>
          <w:kern w:val="0"/>
          <w:sz w:val="32"/>
          <w:szCs w:val="32"/>
        </w:rPr>
        <w:t>本次项目主要建设内容包括：水土流失综合治理面积800公顷；建设护岸工程1600米；营造水土保持林10公顷，采用地表水灌溉，新建水闸2座，截水墙1座，封育天然林草790公顷，建设围栏14.81公里；修建水土保持宣传碑1座、警示牌5个。</w:t>
      </w:r>
    </w:p>
    <w:p>
      <w:pPr>
        <w:ind w:firstLine="560"/>
        <w:rPr>
          <w:rFonts w:ascii="仿宋" w:hAnsi="仿宋" w:eastAsia="仿宋"/>
          <w:bCs/>
          <w:kern w:val="0"/>
          <w:sz w:val="32"/>
          <w:szCs w:val="32"/>
        </w:rPr>
      </w:pPr>
      <w:r>
        <w:rPr>
          <w:rFonts w:hint="eastAsia" w:ascii="方正仿宋_GBK" w:hAnsi="方正仿宋_GBK" w:eastAsia="方正仿宋_GBK" w:cs="方正仿宋_GBK"/>
          <w:sz w:val="32"/>
          <w:szCs w:val="32"/>
        </w:rPr>
        <w:t>3、项目范围：</w:t>
      </w:r>
      <w:r>
        <w:rPr>
          <w:rFonts w:hint="eastAsia" w:ascii="仿宋" w:hAnsi="仿宋" w:eastAsia="仿宋"/>
          <w:bCs/>
          <w:kern w:val="0"/>
          <w:sz w:val="32"/>
          <w:szCs w:val="32"/>
        </w:rPr>
        <w:t>⑴ 在清水河源流纳依特沟下游修建护岸工程总长1600m，保护现有人口453人、草场0.93km</w:t>
      </w:r>
      <w:r>
        <w:rPr>
          <w:rFonts w:ascii="Calibri" w:hAnsi="Calibri" w:eastAsia="仿宋" w:cs="Calibri"/>
          <w:bCs/>
          <w:kern w:val="0"/>
          <w:sz w:val="32"/>
          <w:szCs w:val="32"/>
        </w:rPr>
        <w:t>²</w:t>
      </w:r>
      <w:r>
        <w:rPr>
          <w:rFonts w:hint="eastAsia" w:ascii="仿宋" w:hAnsi="仿宋" w:eastAsia="仿宋" w:cs="仿宋"/>
          <w:bCs/>
          <w:kern w:val="0"/>
          <w:sz w:val="32"/>
          <w:szCs w:val="32"/>
        </w:rPr>
        <w:t>、那英特村唯一的出山道路及现有河岸。护岸在河道左岸布置，河道左岸起点桩号</w:t>
      </w:r>
      <w:r>
        <w:rPr>
          <w:rFonts w:hint="eastAsia" w:ascii="仿宋" w:hAnsi="仿宋" w:eastAsia="仿宋"/>
          <w:bCs/>
          <w:kern w:val="0"/>
          <w:sz w:val="32"/>
          <w:szCs w:val="32"/>
        </w:rPr>
        <w:t>0+000距离那英特村以北0.9km处。</w:t>
      </w:r>
    </w:p>
    <w:p>
      <w:pPr>
        <w:ind w:firstLine="560"/>
        <w:rPr>
          <w:rFonts w:ascii="仿宋" w:hAnsi="仿宋" w:eastAsia="仿宋"/>
          <w:bCs/>
          <w:kern w:val="0"/>
          <w:sz w:val="32"/>
          <w:szCs w:val="32"/>
        </w:rPr>
      </w:pPr>
      <w:r>
        <w:rPr>
          <w:rFonts w:hint="eastAsia" w:ascii="仿宋" w:hAnsi="仿宋" w:eastAsia="仿宋"/>
          <w:bCs/>
          <w:kern w:val="0"/>
          <w:sz w:val="32"/>
          <w:szCs w:val="32"/>
        </w:rPr>
        <w:t>⑵ 在项目区纳依特沟及乌特艾肯沟河岸一侧营造水土保持林10.00hm2，在项目区稀疏林带地区及地表裸露区域种植树木，改善周边区域小环境，林带采用地表水灌溉，新建水闸2座，截水墙1座。</w:t>
      </w:r>
    </w:p>
    <w:p>
      <w:pPr>
        <w:ind w:firstLine="560"/>
        <w:rPr>
          <w:rFonts w:ascii="仿宋" w:hAnsi="仿宋" w:eastAsia="仿宋"/>
          <w:bCs/>
          <w:kern w:val="0"/>
          <w:sz w:val="32"/>
          <w:szCs w:val="32"/>
        </w:rPr>
      </w:pPr>
      <w:r>
        <w:rPr>
          <w:rFonts w:hint="eastAsia" w:ascii="仿宋" w:hAnsi="仿宋" w:eastAsia="仿宋"/>
          <w:bCs/>
          <w:kern w:val="0"/>
          <w:sz w:val="32"/>
          <w:szCs w:val="32"/>
        </w:rPr>
        <w:t>⑶ 对项目区天然林草地进行封育，总面积790.00 hm2，防止人为对天然林草地的破坏和牲畜的啃食，使天然林草地自然恢复。同时在项目区交通要道或沿线醒目的地方设置宣传碑和警示牌，其中修建宣传碑1座，警示牌5处。</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4、组织架构：水利局监管，和静县水利管理总站负责实施。</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（二）项目预算绩效目标设定情况</w:t>
      </w:r>
    </w:p>
    <w:p>
      <w:pPr>
        <w:ind w:firstLine="960" w:firstLineChars="300"/>
        <w:rPr>
          <w:rFonts w:ascii="方正仿宋_GBK" w:hAnsi="方正仿宋_GBK" w:eastAsia="方正仿宋_GBK" w:cs="方正仿宋_GBK"/>
          <w:sz w:val="32"/>
          <w:szCs w:val="32"/>
        </w:rPr>
      </w:pPr>
      <w:bookmarkStart w:id="0" w:name="_Toc515637204"/>
      <w:r>
        <w:rPr>
          <w:rFonts w:hint="eastAsia" w:ascii="方正仿宋_GBK" w:hAnsi="方正仿宋_GBK" w:eastAsia="方正仿宋_GBK" w:cs="方正仿宋_GBK"/>
          <w:sz w:val="32"/>
          <w:szCs w:val="32"/>
        </w:rPr>
        <w:t>1、项目绩效目标</w:t>
      </w:r>
      <w:bookmarkEnd w:id="0"/>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（1）项目总目标：</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严格按照项目批复建设内容，完成工程建设。</w:t>
      </w:r>
    </w:p>
    <w:p>
      <w:pPr>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（2）项目年度绩效目标：</w:t>
      </w:r>
      <w:bookmarkStart w:id="1" w:name="_Toc515637205"/>
      <w:r>
        <w:rPr>
          <w:rFonts w:hint="eastAsia" w:ascii="仿宋" w:hAnsi="仿宋" w:eastAsia="仿宋"/>
          <w:bCs/>
          <w:kern w:val="0"/>
          <w:sz w:val="32"/>
          <w:szCs w:val="32"/>
        </w:rPr>
        <w:t>水土流失综合治理面积800公顷；建设护岸工程1600米；营造水土保持林10公顷，采用地表水灌溉，新建水闸2座，截水墙1座，封育天然林草790公顷，建设围栏14.81公里；修建水土保持宣传碑1座、警示牌5个。</w:t>
      </w:r>
    </w:p>
    <w:p>
      <w:pPr>
        <w:ind w:firstLine="960" w:firstLineChars="3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2、项目实施计划</w:t>
      </w:r>
      <w:bookmarkEnd w:id="1"/>
      <w:r>
        <w:rPr>
          <w:rFonts w:hint="eastAsia" w:ascii="方正仿宋_GBK" w:hAnsi="方正仿宋_GBK" w:eastAsia="方正仿宋_GBK" w:cs="方正仿宋_GBK"/>
          <w:sz w:val="32"/>
          <w:szCs w:val="32"/>
        </w:rPr>
        <w:t>：按照年度任务，完成年度建设任务。</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3、项目基本性质：新建</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二、项目资金使用及管理情况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（一）项目资金安排落实、总投入等情况分析</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（包括财政资金、自筹资金等）</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1、项目可行性研究报告批复情况：</w:t>
      </w:r>
    </w:p>
    <w:p>
      <w:pPr>
        <w:ind w:right="25" w:rightChars="12" w:firstLine="640" w:firstLineChars="200"/>
        <w:jc w:val="left"/>
        <w:rPr>
          <w:rFonts w:ascii="方正仿宋_GBK" w:hAnsi="方正仿宋_GBK" w:eastAsia="方正仿宋_GBK" w:cs="方正仿宋_GBK"/>
          <w:sz w:val="32"/>
          <w:szCs w:val="32"/>
        </w:rPr>
      </w:pPr>
      <w:r>
        <w:rPr>
          <w:rFonts w:hint="eastAsia" w:ascii="仿宋" w:hAnsi="仿宋" w:eastAsia="仿宋"/>
          <w:bCs/>
          <w:kern w:val="0"/>
          <w:sz w:val="32"/>
          <w:szCs w:val="32"/>
        </w:rPr>
        <w:t>2017年12月28日，巴州财政局、水利局联合下发了《关于对和静县纳依特沟小流域下游克尔古提乡项目区水土保持综合治理工程实施方案的批复》文件（巴水办发</w:t>
      </w:r>
      <w:r>
        <w:rPr>
          <w:rFonts w:hint="eastAsia" w:ascii="仿宋" w:hAnsi="仿宋" w:eastAsia="仿宋"/>
          <w:bCs/>
          <w:kern w:val="0"/>
          <w:sz w:val="32"/>
          <w:szCs w:val="32"/>
          <w:lang w:eastAsia="zh-CN"/>
        </w:rPr>
        <w:t>〔</w:t>
      </w:r>
      <w:r>
        <w:rPr>
          <w:rFonts w:hint="eastAsia" w:ascii="仿宋" w:hAnsi="仿宋" w:eastAsia="仿宋"/>
          <w:bCs/>
          <w:kern w:val="0"/>
          <w:sz w:val="32"/>
          <w:szCs w:val="32"/>
        </w:rPr>
        <w:t>2017</w:t>
      </w:r>
      <w:r>
        <w:rPr>
          <w:rFonts w:hint="eastAsia" w:ascii="仿宋" w:hAnsi="仿宋" w:eastAsia="仿宋"/>
          <w:bCs/>
          <w:kern w:val="0"/>
          <w:sz w:val="32"/>
          <w:szCs w:val="32"/>
          <w:lang w:eastAsia="zh-CN"/>
        </w:rPr>
        <w:t>〕</w:t>
      </w:r>
      <w:r>
        <w:rPr>
          <w:rFonts w:hint="eastAsia" w:ascii="仿宋" w:hAnsi="仿宋" w:eastAsia="仿宋"/>
          <w:bCs/>
          <w:kern w:val="0"/>
          <w:sz w:val="32"/>
          <w:szCs w:val="32"/>
        </w:rPr>
        <w:t>383号）。工程批复总投资500.08万元，全部为上级专项资金</w:t>
      </w:r>
      <w:r>
        <w:rPr>
          <w:rFonts w:hint="eastAsia" w:ascii="方正仿宋_GBK" w:hAnsi="方正仿宋_GBK" w:eastAsia="方正仿宋_GBK" w:cs="方正仿宋_GBK"/>
          <w:sz w:val="32"/>
          <w:szCs w:val="32"/>
        </w:rPr>
        <w:t>。</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（二）项目资金实际使用情况分析</w:t>
      </w:r>
    </w:p>
    <w:p>
      <w:pPr>
        <w:ind w:right="25" w:rightChars="12" w:firstLine="640" w:firstLineChars="200"/>
        <w:jc w:val="left"/>
        <w:rPr>
          <w:rFonts w:ascii="仿宋" w:hAnsi="仿宋" w:eastAsia="仿宋"/>
          <w:bCs/>
          <w:kern w:val="0"/>
          <w:sz w:val="32"/>
          <w:szCs w:val="32"/>
        </w:rPr>
      </w:pPr>
      <w:r>
        <w:rPr>
          <w:rFonts w:hint="eastAsia" w:ascii="仿宋" w:hAnsi="仿宋" w:eastAsia="仿宋"/>
          <w:bCs/>
          <w:kern w:val="0"/>
          <w:sz w:val="32"/>
          <w:szCs w:val="32"/>
        </w:rPr>
        <w:t>该工程项目中央资金到位500万元，中央专项资金均按时全额拨付到账，没有出现拨付不及时的现象。</w:t>
      </w:r>
    </w:p>
    <w:p>
      <w:pPr>
        <w:ind w:right="25" w:rightChars="12"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（三）项目资金管理情况分析</w:t>
      </w:r>
    </w:p>
    <w:p>
      <w:pPr>
        <w:ind w:right="25" w:rightChars="12" w:firstLine="640" w:firstLineChars="200"/>
        <w:jc w:val="left"/>
        <w:rPr>
          <w:rFonts w:ascii="仿宋" w:hAnsi="仿宋" w:eastAsia="仿宋"/>
          <w:bCs/>
          <w:kern w:val="0"/>
          <w:sz w:val="32"/>
          <w:szCs w:val="32"/>
        </w:rPr>
      </w:pPr>
      <w:r>
        <w:rPr>
          <w:rFonts w:hint="eastAsia" w:ascii="仿宋" w:hAnsi="仿宋" w:eastAsia="仿宋"/>
          <w:bCs/>
          <w:kern w:val="0"/>
          <w:sz w:val="32"/>
          <w:szCs w:val="32"/>
        </w:rPr>
        <w:t>项目资金管理严格执行项目资金管理制度。相关乡镇负责资金的支付，和静县水利局具体负责项目监督管理工作，严格实行“三专”管理，即设专户、建</w:t>
      </w:r>
      <w:r>
        <w:rPr>
          <w:rFonts w:hint="eastAsia" w:ascii="仿宋" w:hAnsi="仿宋" w:eastAsia="仿宋"/>
          <w:bCs/>
          <w:kern w:val="0"/>
          <w:sz w:val="32"/>
          <w:szCs w:val="32"/>
          <w:lang w:eastAsia="zh-CN"/>
        </w:rPr>
        <w:t>专账</w:t>
      </w:r>
      <w:r>
        <w:rPr>
          <w:rFonts w:hint="eastAsia" w:ascii="仿宋" w:hAnsi="仿宋" w:eastAsia="仿宋"/>
          <w:bCs/>
          <w:kern w:val="0"/>
          <w:sz w:val="32"/>
          <w:szCs w:val="32"/>
        </w:rPr>
        <w:t>、定专人。财政等职能部门全面参与项目资金全过程的监管，形成多环节全过程的监督管理格局，确保了专款专用和资金使用安全，</w:t>
      </w:r>
      <w:r>
        <w:rPr>
          <w:rFonts w:hint="eastAsia" w:ascii="仿宋" w:hAnsi="仿宋" w:eastAsia="仿宋"/>
          <w:bCs/>
          <w:kern w:val="0"/>
          <w:sz w:val="32"/>
          <w:szCs w:val="32"/>
          <w:lang w:eastAsia="zh-CN"/>
        </w:rPr>
        <w:t>截至目前</w:t>
      </w:r>
      <w:r>
        <w:rPr>
          <w:rFonts w:hint="eastAsia" w:ascii="仿宋" w:hAnsi="仿宋" w:eastAsia="仿宋"/>
          <w:bCs/>
          <w:kern w:val="0"/>
          <w:sz w:val="32"/>
          <w:szCs w:val="32"/>
        </w:rPr>
        <w:t>未出现挤占、滞留、挪用建设资金现象。</w:t>
      </w:r>
    </w:p>
    <w:p>
      <w:pPr>
        <w:ind w:right="25" w:rightChars="12" w:firstLine="640" w:firstLineChars="200"/>
        <w:jc w:val="left"/>
        <w:rPr>
          <w:rFonts w:ascii="仿宋" w:hAnsi="仿宋" w:eastAsia="仿宋"/>
          <w:bCs/>
          <w:kern w:val="0"/>
          <w:sz w:val="32"/>
          <w:szCs w:val="32"/>
        </w:rPr>
      </w:pPr>
      <w:r>
        <w:rPr>
          <w:rFonts w:hint="eastAsia" w:ascii="仿宋" w:hAnsi="仿宋" w:eastAsia="仿宋"/>
          <w:bCs/>
          <w:kern w:val="0"/>
          <w:sz w:val="32"/>
          <w:szCs w:val="32"/>
        </w:rPr>
        <w:t>本工程主体工程已完工。工程已支付工程款500万元。</w:t>
      </w:r>
    </w:p>
    <w:p>
      <w:pPr>
        <w:ind w:right="25" w:rightChars="12" w:firstLine="640" w:firstLineChars="200"/>
        <w:jc w:val="left"/>
        <w:rPr>
          <w:rFonts w:ascii="方正仿宋_GBK" w:hAnsi="方正仿宋_GBK" w:eastAsia="方正仿宋_GBK" w:cs="方正仿宋_GBK"/>
          <w:sz w:val="32"/>
          <w:szCs w:val="32"/>
        </w:rPr>
      </w:pPr>
      <w:r>
        <w:rPr>
          <w:rFonts w:hint="eastAsia" w:ascii="仿宋" w:hAnsi="仿宋" w:eastAsia="仿宋"/>
          <w:bCs/>
          <w:kern w:val="0"/>
          <w:sz w:val="32"/>
          <w:szCs w:val="32"/>
        </w:rPr>
        <w:t xml:space="preserve">    </w:t>
      </w:r>
      <w:r>
        <w:rPr>
          <w:rFonts w:hint="eastAsia" w:ascii="方正仿宋_GBK" w:hAnsi="方正仿宋_GBK" w:eastAsia="方正仿宋_GBK" w:cs="方正仿宋_GBK"/>
          <w:sz w:val="32"/>
          <w:szCs w:val="32"/>
        </w:rPr>
        <w:t>三、项目组织实施情况</w:t>
      </w:r>
    </w:p>
    <w:p>
      <w:pPr>
        <w:ind w:right="25" w:rightChars="12"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（一）项目组织情况分析</w:t>
      </w:r>
    </w:p>
    <w:p>
      <w:pPr>
        <w:ind w:right="25" w:rightChars="12" w:firstLine="640" w:firstLineChars="200"/>
        <w:jc w:val="left"/>
        <w:rPr>
          <w:rFonts w:ascii="仿宋" w:hAnsi="仿宋" w:eastAsia="仿宋"/>
          <w:bCs/>
          <w:kern w:val="0"/>
          <w:sz w:val="32"/>
          <w:szCs w:val="32"/>
        </w:rPr>
      </w:pPr>
      <w:r>
        <w:rPr>
          <w:rFonts w:hint="eastAsia" w:ascii="仿宋" w:hAnsi="仿宋" w:eastAsia="仿宋"/>
          <w:bCs/>
          <w:kern w:val="0"/>
          <w:sz w:val="32"/>
          <w:szCs w:val="32"/>
        </w:rPr>
        <w:t>（包括项目投标情况、调整情况、完成验收等）</w:t>
      </w:r>
    </w:p>
    <w:p>
      <w:pPr>
        <w:ind w:right="25" w:rightChars="12" w:firstLine="640" w:firstLineChars="200"/>
        <w:jc w:val="left"/>
        <w:rPr>
          <w:rFonts w:ascii="仿宋" w:hAnsi="仿宋" w:eastAsia="仿宋"/>
          <w:bCs/>
          <w:kern w:val="0"/>
          <w:sz w:val="32"/>
          <w:szCs w:val="32"/>
        </w:rPr>
      </w:pPr>
      <w:r>
        <w:rPr>
          <w:rFonts w:hint="eastAsia" w:ascii="仿宋" w:hAnsi="仿宋" w:eastAsia="仿宋"/>
          <w:bCs/>
          <w:kern w:val="0"/>
          <w:sz w:val="32"/>
          <w:szCs w:val="32"/>
        </w:rPr>
        <w:t>2018年2 月26日，和静县水利管理总站委托新疆信实工程招标咨询服务有限公司对《和静县纳依特沟小流域下游克尔古提乡项目区水土保持综合治理工程》进行招标。遵循公开、公平、公正和诚实信用的原则开标，并在巴州水利局、和静县水利局监督单位有关人员监督下进行评标工作。项目建设无调整情况，工程已完工，</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（二）项目管理情况分析</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（包括项目管理制度建设、日常检查监督管理等情况）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1、项目管理制度</w:t>
      </w:r>
    </w:p>
    <w:p>
      <w:pPr>
        <w:ind w:right="25" w:rightChars="12" w:firstLine="640" w:firstLineChars="200"/>
        <w:jc w:val="left"/>
        <w:rPr>
          <w:rFonts w:ascii="仿宋" w:hAnsi="仿宋" w:eastAsia="仿宋"/>
          <w:bCs/>
          <w:kern w:val="0"/>
          <w:sz w:val="32"/>
          <w:szCs w:val="32"/>
        </w:rPr>
      </w:pPr>
      <w:r>
        <w:rPr>
          <w:rFonts w:hint="eastAsia" w:ascii="方正仿宋_GBK" w:hAnsi="方正仿宋_GBK" w:eastAsia="方正仿宋_GBK" w:cs="方正仿宋_GBK"/>
          <w:sz w:val="32"/>
          <w:szCs w:val="32"/>
        </w:rPr>
        <w:t>（</w:t>
      </w:r>
      <w:r>
        <w:rPr>
          <w:rFonts w:hint="eastAsia" w:ascii="仿宋" w:hAnsi="仿宋" w:eastAsia="仿宋"/>
          <w:bCs/>
          <w:kern w:val="0"/>
          <w:sz w:val="32"/>
          <w:szCs w:val="32"/>
        </w:rPr>
        <w:t>1）项目法人责任制</w:t>
      </w:r>
    </w:p>
    <w:p>
      <w:pPr>
        <w:ind w:right="25" w:rightChars="12" w:firstLine="640" w:firstLineChars="200"/>
        <w:jc w:val="left"/>
        <w:rPr>
          <w:rFonts w:ascii="仿宋" w:hAnsi="仿宋" w:eastAsia="仿宋"/>
          <w:bCs/>
          <w:kern w:val="0"/>
          <w:sz w:val="32"/>
          <w:szCs w:val="32"/>
        </w:rPr>
      </w:pPr>
      <w:r>
        <w:rPr>
          <w:rFonts w:hint="eastAsia" w:ascii="仿宋" w:hAnsi="仿宋" w:eastAsia="仿宋"/>
          <w:bCs/>
          <w:kern w:val="0"/>
          <w:sz w:val="32"/>
          <w:szCs w:val="32"/>
        </w:rPr>
        <w:t>该项目的项目法人组建符合规定要求。内设机构有财务组、质量监督组、档案管理组等，其中财务组配有会计 1 名，出纳 1 名；档案组配有专职档案人员 1 名，质量监督组由 5 名水利水电专业技术人员组成，基本满足规定和建设要求，确保了项目法人责任制落实到位。</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2、招投标制</w:t>
      </w:r>
    </w:p>
    <w:p>
      <w:pPr>
        <w:ind w:firstLine="640" w:firstLineChars="200"/>
        <w:rPr>
          <w:rFonts w:ascii="仿宋" w:hAnsi="仿宋" w:eastAsia="仿宋"/>
          <w:sz w:val="32"/>
          <w:szCs w:val="32"/>
        </w:rPr>
      </w:pPr>
      <w:r>
        <w:rPr>
          <w:rFonts w:hint="eastAsia" w:ascii="仿宋" w:hAnsi="仿宋" w:eastAsia="仿宋"/>
          <w:sz w:val="32"/>
          <w:szCs w:val="32"/>
        </w:rPr>
        <w:t>2018年2 月26日在库尔勒市巴州建设工程交易中心进行了公开招投标工作，评标委员会推荐中标候选单位：</w:t>
      </w:r>
    </w:p>
    <w:p>
      <w:pPr>
        <w:ind w:firstLine="640" w:firstLineChars="200"/>
        <w:rPr>
          <w:rFonts w:ascii="仿宋" w:hAnsi="仿宋" w:eastAsia="仿宋"/>
          <w:sz w:val="32"/>
          <w:szCs w:val="32"/>
        </w:rPr>
      </w:pPr>
      <w:r>
        <w:rPr>
          <w:rFonts w:hint="eastAsia" w:ascii="仿宋" w:hAnsi="仿宋" w:eastAsia="仿宋"/>
          <w:sz w:val="32"/>
          <w:szCs w:val="32"/>
        </w:rPr>
        <w:t>经评标委员会综合评定，确定中标单位为：施工单位：新疆</w:t>
      </w:r>
      <w:r>
        <w:rPr>
          <w:rFonts w:hint="eastAsia" w:ascii="仿宋" w:hAnsi="仿宋" w:eastAsia="仿宋"/>
          <w:sz w:val="32"/>
          <w:szCs w:val="32"/>
          <w:lang w:eastAsia="zh-CN"/>
        </w:rPr>
        <w:t>九州</w:t>
      </w:r>
      <w:r>
        <w:rPr>
          <w:rFonts w:hint="eastAsia" w:ascii="仿宋" w:hAnsi="仿宋" w:eastAsia="仿宋"/>
          <w:sz w:val="32"/>
          <w:szCs w:val="32"/>
        </w:rPr>
        <w:t>建设集团有限公司；监理单位巴州新宇水利水电工程咨询有限责任公司。按照规定在指定媒介发布招标公告，并按公告约定时间、地点开标、评标。开标、评标过程均受水利、纪检等行政监督部门行政监督。该项目招投标工作本着公平、公正、科学、择优的原则，严格按照《新疆水利工程建设项目招标投标管理办法》 （新水建管[2002]101 号）以及《新疆维吾尔自治区水利工程建设项目施工评标细则》 （新水厅【2009】59 号），有关规定进行招标，工程招投标全过程不存在评标违纪、违规和化整为零、规避招标等现象。</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3、工程监理</w:t>
      </w:r>
      <w:r>
        <w:rPr>
          <w:rFonts w:hint="eastAsia" w:ascii="方正仿宋_GBK" w:hAnsi="方正仿宋_GBK" w:eastAsia="方正仿宋_GBK" w:cs="方正仿宋_GBK"/>
          <w:sz w:val="32"/>
          <w:szCs w:val="32"/>
          <w:lang w:eastAsia="zh-CN"/>
        </w:rPr>
        <w:t>制度</w:t>
      </w:r>
    </w:p>
    <w:p>
      <w:pPr>
        <w:ind w:firstLine="640" w:firstLineChars="200"/>
        <w:rPr>
          <w:rFonts w:ascii="仿宋" w:hAnsi="仿宋" w:eastAsia="仿宋"/>
          <w:sz w:val="32"/>
          <w:szCs w:val="32"/>
        </w:rPr>
      </w:pPr>
      <w:r>
        <w:rPr>
          <w:rFonts w:hint="eastAsia" w:ascii="仿宋" w:hAnsi="仿宋" w:eastAsia="仿宋"/>
          <w:sz w:val="32"/>
          <w:szCs w:val="32"/>
        </w:rPr>
        <w:t>该项目监理经过公平、公正、科学、择优的原则，通过招投标产生，选择巴州新宇水利水电工程咨询有限责任公司为工程监理单位，监理人员均持证上岗数量满足项目和合同要求。监理规划和细则编制及监理资料满足规程和建设要求。</w:t>
      </w:r>
    </w:p>
    <w:p>
      <w:pPr>
        <w:ind w:firstLine="640" w:firstLineChars="200"/>
        <w:rPr>
          <w:rFonts w:ascii="仿宋" w:hAnsi="仿宋" w:eastAsia="仿宋"/>
          <w:sz w:val="32"/>
          <w:szCs w:val="32"/>
        </w:rPr>
      </w:pPr>
      <w:r>
        <w:rPr>
          <w:rFonts w:hint="eastAsia" w:ascii="仿宋" w:hAnsi="仿宋" w:eastAsia="仿宋"/>
          <w:sz w:val="32"/>
          <w:szCs w:val="32"/>
        </w:rPr>
        <w:t>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基本能够与施工进度同步。</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4、合同管理</w:t>
      </w:r>
      <w:r>
        <w:rPr>
          <w:rFonts w:hint="eastAsia" w:ascii="方正仿宋_GBK" w:hAnsi="方正仿宋_GBK" w:eastAsia="方正仿宋_GBK" w:cs="方正仿宋_GBK"/>
          <w:sz w:val="32"/>
          <w:szCs w:val="32"/>
          <w:lang w:eastAsia="zh-CN"/>
        </w:rPr>
        <w:t>制度</w:t>
      </w:r>
    </w:p>
    <w:p>
      <w:pPr>
        <w:ind w:firstLine="640" w:firstLineChars="200"/>
        <w:rPr>
          <w:rFonts w:ascii="仿宋" w:hAnsi="仿宋" w:eastAsia="仿宋"/>
          <w:sz w:val="32"/>
          <w:szCs w:val="32"/>
        </w:rPr>
      </w:pPr>
      <w:r>
        <w:rPr>
          <w:rFonts w:hint="eastAsia" w:ascii="仿宋" w:hAnsi="仿宋" w:eastAsia="仿宋"/>
          <w:sz w:val="32"/>
          <w:szCs w:val="32"/>
        </w:rPr>
        <w:t>该项目选择具有相应资质等级的工程设计、监理、施工等单位，并按照规范签订合同，并全面落实《工程建设合同》 、 《廉政合同》和《安全生产责任书》双签制度，各参建单位认真执行投标承诺、投入人员、设备和力量，满足施工需要，不存在施工、监理及设计转包、违法分包现象。</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2、日常监督管理情况</w:t>
      </w:r>
    </w:p>
    <w:p>
      <w:pPr>
        <w:ind w:firstLine="640" w:firstLineChars="200"/>
        <w:rPr>
          <w:rFonts w:ascii="仿宋" w:hAnsi="仿宋" w:eastAsia="仿宋"/>
          <w:sz w:val="32"/>
          <w:szCs w:val="32"/>
        </w:rPr>
      </w:pPr>
      <w:r>
        <w:rPr>
          <w:rFonts w:hint="eastAsia" w:ascii="仿宋" w:hAnsi="仿宋" w:eastAsia="仿宋"/>
          <w:sz w:val="32"/>
          <w:szCs w:val="32"/>
        </w:rPr>
        <w:t>（1）质量管理</w:t>
      </w:r>
    </w:p>
    <w:p>
      <w:pPr>
        <w:ind w:firstLine="640" w:firstLineChars="200"/>
        <w:rPr>
          <w:rFonts w:ascii="仿宋" w:hAnsi="仿宋" w:eastAsia="仿宋"/>
          <w:sz w:val="32"/>
          <w:szCs w:val="32"/>
        </w:rPr>
      </w:pPr>
      <w:r>
        <w:rPr>
          <w:rFonts w:hint="eastAsia" w:ascii="仿宋" w:hAnsi="仿宋" w:eastAsia="仿宋"/>
          <w:sz w:val="32"/>
          <w:szCs w:val="32"/>
        </w:rPr>
        <w:t>项目法人负责：为了确保工程施工质量，和静县水管总站成立了质量检查小组，经常深入施工现场检查工程质量，严把质量关、程序关和质检关，并对工地实行巡查监督管理，发现质量问题立即返工，绝不姑息迁就。</w:t>
      </w:r>
    </w:p>
    <w:p>
      <w:pPr>
        <w:ind w:firstLine="640" w:firstLineChars="200"/>
        <w:rPr>
          <w:rFonts w:ascii="仿宋" w:hAnsi="仿宋" w:eastAsia="仿宋"/>
          <w:sz w:val="32"/>
          <w:szCs w:val="32"/>
        </w:rPr>
      </w:pPr>
      <w:r>
        <w:rPr>
          <w:rFonts w:hint="eastAsia" w:ascii="仿宋" w:hAnsi="仿宋" w:eastAsia="仿宋"/>
          <w:sz w:val="32"/>
          <w:szCs w:val="32"/>
        </w:rPr>
        <w:t>在施工全过程监理中，监理公司根据实际情况制定了工程监理规划和各施工项目监理细则，严格按“质量控制”的有关要求组织专业监理人员对工程的技术图纸、施工组织设计、材料选购等各施工环节进行监控，对现场施工实行跟班检查、旁站监理，保证合格后方可进行下道工序施工。</w:t>
      </w:r>
    </w:p>
    <w:p>
      <w:pPr>
        <w:ind w:firstLine="640" w:firstLineChars="200"/>
        <w:rPr>
          <w:rFonts w:ascii="仿宋" w:hAnsi="仿宋" w:eastAsia="仿宋"/>
          <w:sz w:val="32"/>
          <w:szCs w:val="32"/>
        </w:rPr>
      </w:pPr>
      <w:r>
        <w:rPr>
          <w:rFonts w:hint="eastAsia" w:ascii="仿宋" w:hAnsi="仿宋" w:eastAsia="仿宋"/>
          <w:sz w:val="32"/>
          <w:szCs w:val="32"/>
        </w:rPr>
        <w:t xml:space="preserve">（2）安全管理                                                                                               </w:t>
      </w:r>
    </w:p>
    <w:p>
      <w:pPr>
        <w:ind w:firstLine="640" w:firstLineChars="200"/>
        <w:rPr>
          <w:rFonts w:ascii="仿宋" w:hAnsi="仿宋" w:eastAsia="仿宋"/>
          <w:sz w:val="32"/>
          <w:szCs w:val="32"/>
        </w:rPr>
      </w:pPr>
      <w:r>
        <w:rPr>
          <w:rFonts w:hint="eastAsia" w:ascii="仿宋" w:hAnsi="仿宋" w:eastAsia="仿宋"/>
          <w:sz w:val="32"/>
          <w:szCs w:val="32"/>
        </w:rPr>
        <w:t>为保证施工安全，工程开工前，和静县水利局与各施工单位签订了项目安全生产责任书，并在重要地段设立安全警示标志确保施工期间安全生产。</w:t>
      </w:r>
    </w:p>
    <w:p>
      <w:pPr>
        <w:ind w:firstLine="640" w:firstLineChars="200"/>
        <w:rPr>
          <w:rFonts w:ascii="仿宋" w:hAnsi="仿宋" w:eastAsia="仿宋"/>
          <w:sz w:val="32"/>
          <w:szCs w:val="32"/>
        </w:rPr>
      </w:pPr>
      <w:r>
        <w:rPr>
          <w:rFonts w:hint="eastAsia" w:ascii="仿宋" w:hAnsi="仿宋" w:eastAsia="仿宋"/>
          <w:sz w:val="32"/>
          <w:szCs w:val="32"/>
        </w:rPr>
        <w:t xml:space="preserve">（3）建设管理其他程序                                                                                                                                                                                                                                                                                                                                                                                                                                                                                                                                                                                                                                                                                                                                                                                                                                                                                                                                                                                                                                                                                                                                                                                                                                                                                                                                                                                                                                                                                                                                                                                                                                                                                                                                                                                                                                                                                                                                                                                                                                                                                                                                                                                                                                                                                                                                                                                                                                                                                                                                                                                                                                                                                                                                                                                                                                                                                                                                                                                                                                                                                                                                                                                                                                                                                                                                                                                                                                                                                                                                                                                                                                                                                                                                          </w:t>
      </w:r>
    </w:p>
    <w:p>
      <w:pPr>
        <w:ind w:firstLine="640" w:firstLineChars="200"/>
        <w:rPr>
          <w:rFonts w:ascii="仿宋" w:hAnsi="仿宋" w:eastAsia="仿宋"/>
          <w:sz w:val="32"/>
          <w:szCs w:val="32"/>
        </w:rPr>
      </w:pPr>
      <w:r>
        <w:rPr>
          <w:rFonts w:hint="eastAsia" w:ascii="仿宋" w:hAnsi="仿宋" w:eastAsia="仿宋"/>
          <w:sz w:val="32"/>
          <w:szCs w:val="32"/>
        </w:rPr>
        <w:t>该工程项目能够严格按照规定及时办理相关手续。</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四、项目绩效情况</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（一）项目绩效目标完成情况分析</w:t>
      </w:r>
    </w:p>
    <w:p>
      <w:pPr>
        <w:ind w:firstLine="640" w:firstLineChars="200"/>
        <w:rPr>
          <w:rFonts w:ascii="仿宋" w:hAnsi="仿宋" w:eastAsia="仿宋"/>
          <w:sz w:val="32"/>
          <w:szCs w:val="32"/>
        </w:rPr>
      </w:pPr>
      <w:r>
        <w:rPr>
          <w:rFonts w:hint="eastAsia" w:ascii="仿宋" w:hAnsi="仿宋" w:eastAsia="仿宋"/>
          <w:sz w:val="32"/>
          <w:szCs w:val="32"/>
        </w:rPr>
        <w:t>该工程满足设计要求，基本按照设计要求完成任务。工程项目效益主要是：</w:t>
      </w:r>
    </w:p>
    <w:p>
      <w:pPr>
        <w:ind w:firstLine="640" w:firstLineChars="200"/>
        <w:rPr>
          <w:rFonts w:ascii="仿宋" w:hAnsi="仿宋" w:eastAsia="仿宋"/>
          <w:sz w:val="32"/>
          <w:szCs w:val="32"/>
        </w:rPr>
      </w:pPr>
      <w:r>
        <w:rPr>
          <w:rFonts w:hint="eastAsia" w:ascii="仿宋" w:hAnsi="仿宋" w:eastAsia="仿宋"/>
          <w:sz w:val="32"/>
          <w:szCs w:val="32"/>
        </w:rPr>
        <w:t>蓄水保土效益</w:t>
      </w:r>
    </w:p>
    <w:p>
      <w:pPr>
        <w:ind w:firstLine="640" w:firstLineChars="200"/>
        <w:rPr>
          <w:rFonts w:ascii="仿宋" w:hAnsi="仿宋" w:eastAsia="仿宋"/>
          <w:sz w:val="32"/>
          <w:szCs w:val="32"/>
        </w:rPr>
      </w:pPr>
      <w:r>
        <w:rPr>
          <w:rFonts w:hint="eastAsia" w:ascii="仿宋" w:hAnsi="仿宋" w:eastAsia="仿宋"/>
          <w:sz w:val="32"/>
          <w:szCs w:val="32"/>
        </w:rPr>
        <w:t>水土保持基础效益为水土保持各项措施的蓄水保土效益。工程措施建成投入运行后，正常发挥保水保土效益，生物措施建成后至少需2～3年才可正常发挥保水保土效益。本方案水土保持措施主要为林草措施，因此工程正常发挥效益应为工程建设完成后的第3年。</w:t>
      </w:r>
    </w:p>
    <w:p>
      <w:pPr>
        <w:ind w:firstLine="640" w:firstLineChars="200"/>
        <w:rPr>
          <w:rFonts w:ascii="仿宋" w:hAnsi="仿宋" w:eastAsia="仿宋"/>
          <w:sz w:val="32"/>
          <w:szCs w:val="32"/>
        </w:rPr>
      </w:pPr>
      <w:r>
        <w:rPr>
          <w:rFonts w:hint="eastAsia" w:ascii="仿宋" w:hAnsi="仿宋" w:eastAsia="仿宋"/>
          <w:sz w:val="32"/>
          <w:szCs w:val="32"/>
        </w:rPr>
        <w:t>生态效益</w:t>
      </w:r>
    </w:p>
    <w:p>
      <w:pPr>
        <w:ind w:firstLine="640" w:firstLineChars="200"/>
        <w:rPr>
          <w:rFonts w:ascii="仿宋" w:hAnsi="仿宋" w:eastAsia="仿宋"/>
          <w:sz w:val="32"/>
          <w:szCs w:val="32"/>
        </w:rPr>
      </w:pPr>
      <w:r>
        <w:rPr>
          <w:rFonts w:hint="eastAsia" w:ascii="仿宋" w:hAnsi="仿宋" w:eastAsia="仿宋"/>
          <w:sz w:val="32"/>
          <w:szCs w:val="32"/>
        </w:rPr>
        <w:t>由于实施了水土保持治理工作，使项目区新增草地21.00hm</w:t>
      </w:r>
      <w:r>
        <w:rPr>
          <w:rFonts w:ascii="Calibri" w:hAnsi="Calibri" w:eastAsia="仿宋" w:cs="Calibri"/>
          <w:sz w:val="32"/>
          <w:szCs w:val="32"/>
        </w:rPr>
        <w:t>²</w:t>
      </w:r>
      <w:r>
        <w:rPr>
          <w:rFonts w:hint="eastAsia" w:ascii="仿宋" w:hAnsi="仿宋" w:eastAsia="仿宋" w:cs="仿宋"/>
          <w:sz w:val="32"/>
          <w:szCs w:val="32"/>
        </w:rPr>
        <w:t>，封育治理措施面积</w:t>
      </w:r>
      <w:r>
        <w:rPr>
          <w:rFonts w:hint="eastAsia" w:ascii="仿宋" w:hAnsi="仿宋" w:eastAsia="仿宋"/>
          <w:sz w:val="32"/>
          <w:szCs w:val="32"/>
        </w:rPr>
        <w:t>779.00hm</w:t>
      </w:r>
      <w:r>
        <w:rPr>
          <w:rFonts w:ascii="Calibri" w:hAnsi="Calibri" w:eastAsia="仿宋" w:cs="Calibri"/>
          <w:sz w:val="32"/>
          <w:szCs w:val="32"/>
        </w:rPr>
        <w:t>²</w:t>
      </w:r>
      <w:r>
        <w:rPr>
          <w:rFonts w:hint="eastAsia" w:ascii="仿宋" w:hAnsi="仿宋" w:eastAsia="仿宋" w:cs="仿宋"/>
          <w:sz w:val="32"/>
          <w:szCs w:val="32"/>
        </w:rPr>
        <w:t>，这些水土保持措施的实施，使项目区范围内小气候可发生相应的变化，生态环境有了较大的改善。</w:t>
      </w:r>
    </w:p>
    <w:p>
      <w:pPr>
        <w:ind w:firstLine="640" w:firstLineChars="200"/>
        <w:rPr>
          <w:rFonts w:ascii="仿宋" w:hAnsi="仿宋" w:eastAsia="仿宋"/>
          <w:sz w:val="32"/>
          <w:szCs w:val="32"/>
        </w:rPr>
      </w:pPr>
      <w:r>
        <w:rPr>
          <w:rFonts w:hint="eastAsia" w:ascii="仿宋" w:hAnsi="仿宋" w:eastAsia="仿宋"/>
          <w:sz w:val="32"/>
          <w:szCs w:val="32"/>
        </w:rPr>
        <w:t>本次水土保持措施实施以后，项目区内的水土流失现象将得到控制。植被的恢复将使项目区内生态环境得到较大的改善，同时对该区周边的农牧业生产将起到较大的促进作用。</w:t>
      </w:r>
    </w:p>
    <w:p>
      <w:pPr>
        <w:ind w:firstLine="640" w:firstLineChars="200"/>
        <w:rPr>
          <w:rFonts w:ascii="仿宋" w:hAnsi="仿宋" w:eastAsia="仿宋"/>
          <w:sz w:val="32"/>
          <w:szCs w:val="32"/>
        </w:rPr>
      </w:pPr>
      <w:bookmarkStart w:id="2" w:name="_Toc523847064"/>
      <w:r>
        <w:rPr>
          <w:rFonts w:hint="eastAsia" w:ascii="仿宋" w:hAnsi="仿宋" w:eastAsia="仿宋"/>
          <w:sz w:val="32"/>
          <w:szCs w:val="32"/>
        </w:rPr>
        <w:t>社会效益</w:t>
      </w:r>
      <w:bookmarkEnd w:id="2"/>
    </w:p>
    <w:p>
      <w:pPr>
        <w:ind w:firstLine="640" w:firstLineChars="200"/>
        <w:rPr>
          <w:rFonts w:ascii="仿宋" w:hAnsi="仿宋" w:eastAsia="仿宋"/>
          <w:sz w:val="32"/>
          <w:szCs w:val="32"/>
        </w:rPr>
      </w:pPr>
      <w:r>
        <w:rPr>
          <w:rFonts w:hint="eastAsia" w:ascii="仿宋" w:hAnsi="仿宋" w:eastAsia="仿宋"/>
          <w:sz w:val="32"/>
          <w:szCs w:val="32"/>
        </w:rPr>
        <w:t>水土保持社会效益主要有</w:t>
      </w:r>
      <w:r>
        <w:rPr>
          <w:rFonts w:hint="eastAsia" w:ascii="仿宋" w:hAnsi="仿宋" w:eastAsia="仿宋"/>
          <w:sz w:val="32"/>
          <w:szCs w:val="32"/>
          <w:lang w:eastAsia="zh-CN"/>
        </w:rPr>
        <w:t>以下两个方面</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一是改善生态环境；植被覆盖度的提高，不但增加了土壤的保水量，而且植被的恢复将使项目区内生态环境得到一定程度的改善，改善地面小气候，提高项目区农牧民的生活质量，控制水土流失的进一步发生。</w:t>
      </w:r>
    </w:p>
    <w:p>
      <w:pPr>
        <w:ind w:firstLine="640" w:firstLineChars="200"/>
        <w:rPr>
          <w:rFonts w:ascii="仿宋" w:hAnsi="仿宋" w:eastAsia="仿宋"/>
          <w:sz w:val="32"/>
          <w:szCs w:val="32"/>
        </w:rPr>
      </w:pPr>
      <w:r>
        <w:rPr>
          <w:rFonts w:hint="eastAsia" w:ascii="仿宋" w:hAnsi="仿宋" w:eastAsia="仿宋"/>
          <w:sz w:val="32"/>
          <w:szCs w:val="32"/>
        </w:rPr>
        <w:t>二是美化项目区环境，尤其是新建的草地不但起到了保水固土的作用，而且为项目区新添了一道美丽的绿色长廊。随着生态环境改善，经济繁荣将为项目区各族人民创造一个良好的生活环境，对于促进社会和谐，建立安定团结的社会局面具有十分重要的意义。</w:t>
      </w:r>
    </w:p>
    <w:p>
      <w:pPr>
        <w:ind w:firstLine="640" w:firstLineChars="200"/>
        <w:rPr>
          <w:rFonts w:ascii="方正仿宋_GBK" w:hAnsi="方正仿宋_GBK" w:eastAsia="方正仿宋_GBK" w:cs="方正仿宋_GBK"/>
          <w:sz w:val="32"/>
          <w:szCs w:val="32"/>
        </w:rPr>
      </w:pPr>
      <w:r>
        <w:rPr>
          <w:rFonts w:hint="eastAsia" w:ascii="仿宋" w:hAnsi="仿宋" w:eastAsia="仿宋"/>
          <w:sz w:val="32"/>
          <w:szCs w:val="32"/>
        </w:rPr>
        <w:t>本次采取各项措施的经济效益按20年计算，依据现有科研成果和典型流域的调查结果，确定各项措施的增产效益为：水土保持林1500元/hm</w:t>
      </w:r>
      <w:r>
        <w:rPr>
          <w:rFonts w:ascii="Calibri" w:hAnsi="Calibri" w:eastAsia="仿宋" w:cs="Calibri"/>
          <w:sz w:val="32"/>
          <w:szCs w:val="32"/>
        </w:rPr>
        <w:t>²•</w:t>
      </w:r>
      <w:r>
        <w:rPr>
          <w:rFonts w:hint="eastAsia" w:ascii="仿宋" w:hAnsi="仿宋" w:eastAsia="仿宋" w:cs="仿宋"/>
          <w:sz w:val="32"/>
          <w:szCs w:val="32"/>
        </w:rPr>
        <w:t>年，封育治理</w:t>
      </w:r>
      <w:r>
        <w:rPr>
          <w:rFonts w:hint="eastAsia" w:ascii="仿宋" w:hAnsi="仿宋" w:eastAsia="仿宋"/>
          <w:sz w:val="32"/>
          <w:szCs w:val="32"/>
        </w:rPr>
        <w:t>250元/hm</w:t>
      </w:r>
      <w:r>
        <w:rPr>
          <w:rFonts w:ascii="Calibri" w:hAnsi="Calibri" w:eastAsia="仿宋" w:cs="Calibri"/>
          <w:sz w:val="32"/>
          <w:szCs w:val="32"/>
        </w:rPr>
        <w:t>²</w:t>
      </w:r>
      <w:r>
        <w:rPr>
          <w:rFonts w:hint="eastAsia" w:ascii="微软雅黑" w:hAnsi="微软雅黑" w:eastAsia="微软雅黑" w:cs="微软雅黑"/>
          <w:sz w:val="32"/>
          <w:szCs w:val="32"/>
        </w:rPr>
        <w:t>•</w:t>
      </w:r>
      <w:r>
        <w:rPr>
          <w:rFonts w:hint="eastAsia" w:ascii="仿宋" w:hAnsi="仿宋" w:eastAsia="仿宋" w:cs="仿宋"/>
          <w:sz w:val="32"/>
          <w:szCs w:val="32"/>
        </w:rPr>
        <w:t>年。</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（二）项目绩效目标未完成原因分析</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（如项目绩效目标已完成，可不用填写该部分。）</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五、其他需要说明的问题</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（一）后续工作计划</w:t>
      </w:r>
    </w:p>
    <w:p>
      <w:pPr>
        <w:ind w:firstLine="640" w:firstLineChars="200"/>
        <w:rPr>
          <w:rFonts w:ascii="Calibri" w:hAnsi="Calibri" w:eastAsia="仿宋" w:cs="Calibri"/>
          <w:sz w:val="32"/>
          <w:szCs w:val="32"/>
        </w:rPr>
      </w:pPr>
      <w:r>
        <w:rPr>
          <w:rFonts w:hint="eastAsia" w:ascii="Calibri" w:hAnsi="Calibri" w:eastAsia="仿宋" w:cs="Calibri"/>
          <w:sz w:val="32"/>
          <w:szCs w:val="32"/>
        </w:rPr>
        <w:t>积极协调项目审计单位加快完成工程审计，尽早完成工程竣工验收。</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（二）主要经验及做法、存在问题和建议</w:t>
      </w:r>
    </w:p>
    <w:p>
      <w:pPr>
        <w:ind w:firstLine="640" w:firstLineChars="200"/>
        <w:rPr>
          <w:rFonts w:ascii="Calibri" w:hAnsi="Calibri" w:eastAsia="仿宋" w:cs="Calibri"/>
          <w:sz w:val="32"/>
          <w:szCs w:val="32"/>
        </w:rPr>
      </w:pPr>
      <w:r>
        <w:rPr>
          <w:rFonts w:hint="eastAsia" w:ascii="Calibri" w:hAnsi="Calibri" w:eastAsia="仿宋" w:cs="Calibri"/>
          <w:sz w:val="32"/>
          <w:szCs w:val="32"/>
        </w:rPr>
        <w:t>该工程建成投入使用后，发挥了一定的生产效益和经济效益，工程建设是成功的。</w:t>
      </w:r>
    </w:p>
    <w:p>
      <w:pPr>
        <w:ind w:firstLine="640" w:firstLineChars="200"/>
        <w:rPr>
          <w:rFonts w:ascii="Calibri" w:hAnsi="Calibri" w:eastAsia="仿宋" w:cs="Calibri"/>
          <w:sz w:val="32"/>
          <w:szCs w:val="32"/>
        </w:rPr>
      </w:pPr>
      <w:r>
        <w:rPr>
          <w:rFonts w:hint="eastAsia" w:ascii="Calibri" w:hAnsi="Calibri" w:eastAsia="仿宋" w:cs="Calibri"/>
          <w:sz w:val="32"/>
          <w:szCs w:val="32"/>
        </w:rPr>
        <w:t>1、上级主管部门领导的高度重视，经常到施工工地进行现场办公指导，为工程顺利建设进行起到了重要作用。</w:t>
      </w:r>
    </w:p>
    <w:p>
      <w:pPr>
        <w:ind w:firstLine="640" w:firstLineChars="200"/>
        <w:rPr>
          <w:rFonts w:ascii="Calibri" w:hAnsi="Calibri" w:eastAsia="仿宋" w:cs="Calibri"/>
          <w:sz w:val="32"/>
          <w:szCs w:val="32"/>
        </w:rPr>
      </w:pPr>
      <w:r>
        <w:rPr>
          <w:rFonts w:hint="eastAsia" w:ascii="Calibri" w:hAnsi="Calibri" w:eastAsia="仿宋" w:cs="Calibri"/>
          <w:sz w:val="32"/>
          <w:szCs w:val="32"/>
        </w:rPr>
        <w:t>2、工程建设严格按基本建设程序实行</w:t>
      </w:r>
      <w:r>
        <w:rPr>
          <w:rFonts w:hint="eastAsia" w:ascii="Calibri" w:hAnsi="Calibri" w:eastAsia="仿宋" w:cs="Calibri"/>
          <w:sz w:val="32"/>
          <w:szCs w:val="32"/>
          <w:lang w:eastAsia="zh-CN"/>
        </w:rPr>
        <w:t>项目法人责任制</w:t>
      </w:r>
      <w:r>
        <w:rPr>
          <w:rFonts w:hint="eastAsia" w:ascii="Calibri" w:hAnsi="Calibri" w:eastAsia="仿宋" w:cs="Calibri"/>
          <w:sz w:val="32"/>
          <w:szCs w:val="32"/>
        </w:rPr>
        <w:t xml:space="preserve">、招投标制、建设监理制和工程合同制，工程建设严格按照各项工程制度有序进行。 </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（三）其他</w:t>
      </w:r>
    </w:p>
    <w:p>
      <w:pPr>
        <w:ind w:firstLine="640" w:firstLineChars="200"/>
        <w:rPr>
          <w:rFonts w:ascii="Calibri" w:hAnsi="Calibri" w:eastAsia="仿宋" w:cs="Calibri"/>
          <w:sz w:val="32"/>
          <w:szCs w:val="32"/>
        </w:rPr>
      </w:pPr>
      <w:r>
        <w:rPr>
          <w:rFonts w:hint="eastAsia" w:ascii="Calibri" w:hAnsi="Calibri" w:eastAsia="仿宋" w:cs="Calibri"/>
          <w:sz w:val="32"/>
          <w:szCs w:val="32"/>
        </w:rPr>
        <w:t>无</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六、项目评价工作情况</w:t>
      </w:r>
    </w:p>
    <w:p>
      <w:pPr>
        <w:ind w:firstLine="640" w:firstLineChars="200"/>
        <w:rPr>
          <w:rFonts w:ascii="Calibri" w:hAnsi="Calibri" w:eastAsia="仿宋" w:cs="Calibri"/>
          <w:sz w:val="32"/>
          <w:szCs w:val="32"/>
        </w:rPr>
      </w:pPr>
      <w:r>
        <w:rPr>
          <w:rFonts w:hint="eastAsia" w:ascii="Calibri" w:hAnsi="Calibri" w:eastAsia="仿宋" w:cs="Calibri"/>
          <w:sz w:val="32"/>
          <w:szCs w:val="32"/>
        </w:rPr>
        <w:t>包括评价基础数据收集、资料来源和依据等佐证材料情况，项目现场勘验检查核实等情况</w:t>
      </w:r>
    </w:p>
    <w:p>
      <w:pPr>
        <w:ind w:firstLine="560"/>
        <w:rPr>
          <w:rFonts w:ascii="仿宋" w:hAnsi="仿宋" w:eastAsia="仿宋"/>
          <w:bCs/>
          <w:kern w:val="0"/>
          <w:sz w:val="32"/>
          <w:szCs w:val="32"/>
        </w:rPr>
      </w:pPr>
      <w:r>
        <w:rPr>
          <w:rFonts w:hint="eastAsia" w:ascii="仿宋" w:hAnsi="仿宋" w:eastAsia="仿宋"/>
          <w:bCs/>
          <w:kern w:val="0"/>
          <w:sz w:val="32"/>
          <w:szCs w:val="32"/>
        </w:rPr>
        <w:t>水土流失综合治理面积800公顷；建设护岸工程1600米；营造水土保持林10公顷，采用地表水灌溉，新建水闸2座，截水墙1座，封育天然林草790公顷，建设围栏14.81公里；修建水土保持宣传碑1座、警示牌5个。现工程已基本完工。</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spacing w:line="540" w:lineRule="exact"/>
        <w:ind w:firstLine="567"/>
        <w:rPr>
          <w:rStyle w:val="20"/>
          <w:rFonts w:ascii="仿宋" w:hAnsi="仿宋" w:eastAsia="仿宋"/>
          <w:b w:val="0"/>
          <w:spacing w:val="-4"/>
          <w:sz w:val="32"/>
          <w:szCs w:val="32"/>
        </w:rPr>
      </w:pPr>
      <w:r>
        <w:rPr>
          <w:rStyle w:val="20"/>
          <w:rFonts w:hint="eastAsia" w:ascii="仿宋" w:hAnsi="仿宋" w:eastAsia="仿宋"/>
          <w:b w:val="0"/>
          <w:spacing w:val="-4"/>
          <w:sz w:val="32"/>
          <w:szCs w:val="32"/>
        </w:rPr>
        <w:t>《地区财政项目支出绩效自评表》</w:t>
      </w: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STZhongsong">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5</w:t>
        </w:r>
        <w:r>
          <w:fldChar w:fldCharType="end"/>
        </w:r>
      </w:p>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I0OWRiMTZiMzRmNjNlMGUwZWQ4OTZmMWRjYmExZDUifQ=="/>
  </w:docVars>
  <w:rsids>
    <w:rsidRoot w:val="00CA6457"/>
    <w:rsid w:val="00007559"/>
    <w:rsid w:val="00056465"/>
    <w:rsid w:val="00121AE4"/>
    <w:rsid w:val="00146AAD"/>
    <w:rsid w:val="001B3A40"/>
    <w:rsid w:val="002574E5"/>
    <w:rsid w:val="002E590A"/>
    <w:rsid w:val="002F5E7C"/>
    <w:rsid w:val="00305A35"/>
    <w:rsid w:val="003908B7"/>
    <w:rsid w:val="0041201E"/>
    <w:rsid w:val="004366A8"/>
    <w:rsid w:val="00502BA7"/>
    <w:rsid w:val="005162F1"/>
    <w:rsid w:val="00535153"/>
    <w:rsid w:val="00554F82"/>
    <w:rsid w:val="00557407"/>
    <w:rsid w:val="0056390D"/>
    <w:rsid w:val="005714E5"/>
    <w:rsid w:val="005719B0"/>
    <w:rsid w:val="005D10D6"/>
    <w:rsid w:val="0069633C"/>
    <w:rsid w:val="006D7417"/>
    <w:rsid w:val="006E6BB4"/>
    <w:rsid w:val="00743B81"/>
    <w:rsid w:val="00787335"/>
    <w:rsid w:val="007F41B9"/>
    <w:rsid w:val="00812A5D"/>
    <w:rsid w:val="00855E3A"/>
    <w:rsid w:val="00865DCB"/>
    <w:rsid w:val="00867B10"/>
    <w:rsid w:val="00922CB9"/>
    <w:rsid w:val="0092573B"/>
    <w:rsid w:val="009564B6"/>
    <w:rsid w:val="009C597A"/>
    <w:rsid w:val="009E5CD9"/>
    <w:rsid w:val="009F4AE4"/>
    <w:rsid w:val="00A26421"/>
    <w:rsid w:val="00A4293B"/>
    <w:rsid w:val="00A67D50"/>
    <w:rsid w:val="00A8691A"/>
    <w:rsid w:val="00AC1946"/>
    <w:rsid w:val="00B40063"/>
    <w:rsid w:val="00B41F61"/>
    <w:rsid w:val="00BA46E6"/>
    <w:rsid w:val="00BF37C4"/>
    <w:rsid w:val="00C56C72"/>
    <w:rsid w:val="00CA6457"/>
    <w:rsid w:val="00D16AF4"/>
    <w:rsid w:val="00D17F2E"/>
    <w:rsid w:val="00D30354"/>
    <w:rsid w:val="00D926BD"/>
    <w:rsid w:val="00DF42A0"/>
    <w:rsid w:val="00E00D00"/>
    <w:rsid w:val="00E53F6E"/>
    <w:rsid w:val="00E769FE"/>
    <w:rsid w:val="00EA2CBE"/>
    <w:rsid w:val="00EC7D80"/>
    <w:rsid w:val="00EF2A18"/>
    <w:rsid w:val="00F22EA1"/>
    <w:rsid w:val="00F31547"/>
    <w:rsid w:val="00F32FEE"/>
    <w:rsid w:val="00F416A9"/>
    <w:rsid w:val="00FA20DA"/>
    <w:rsid w:val="00FB10BB"/>
    <w:rsid w:val="00FE0ED5"/>
    <w:rsid w:val="00FF41E0"/>
    <w:rsid w:val="012E397C"/>
    <w:rsid w:val="0305731B"/>
    <w:rsid w:val="119E350F"/>
    <w:rsid w:val="151D6440"/>
    <w:rsid w:val="15C31D7B"/>
    <w:rsid w:val="17D2411D"/>
    <w:rsid w:val="17D60F51"/>
    <w:rsid w:val="1F235040"/>
    <w:rsid w:val="21802880"/>
    <w:rsid w:val="21E915D1"/>
    <w:rsid w:val="2CC745BF"/>
    <w:rsid w:val="2D384122"/>
    <w:rsid w:val="42605867"/>
    <w:rsid w:val="4FC31150"/>
    <w:rsid w:val="658B5BD5"/>
    <w:rsid w:val="78E41B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12">
    <w:name w:val="Body Text"/>
    <w:basedOn w:val="1"/>
    <w:qFormat/>
    <w:uiPriority w:val="0"/>
    <w:pPr>
      <w:spacing w:line="360" w:lineRule="auto"/>
    </w:pPr>
    <w:rPr>
      <w:rFonts w:hAnsi="宋体"/>
      <w:sz w:val="28"/>
    </w:rPr>
  </w:style>
  <w:style w:type="paragraph" w:styleId="13">
    <w:name w:val="Balloon Text"/>
    <w:basedOn w:val="1"/>
    <w:link w:val="46"/>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2"/>
    <w:qFormat/>
    <w:uiPriority w:val="9"/>
    <w:rPr>
      <w:rFonts w:asciiTheme="majorHAnsi" w:hAnsiTheme="majorHAnsi" w:eastAsiaTheme="majorEastAsia"/>
      <w:b/>
      <w:bCs/>
      <w:kern w:val="32"/>
      <w:sz w:val="32"/>
      <w:szCs w:val="32"/>
    </w:rPr>
  </w:style>
  <w:style w:type="character" w:customStyle="1" w:styleId="23">
    <w:name w:val="标题 2 字符"/>
    <w:basedOn w:val="19"/>
    <w:link w:val="3"/>
    <w:semiHidden/>
    <w:qFormat/>
    <w:uiPriority w:val="9"/>
    <w:rPr>
      <w:rFonts w:asciiTheme="majorHAnsi" w:hAnsiTheme="majorHAnsi" w:eastAsiaTheme="majorEastAsia"/>
      <w:b/>
      <w:bCs/>
      <w:i/>
      <w:iCs/>
      <w:sz w:val="28"/>
      <w:szCs w:val="28"/>
    </w:rPr>
  </w:style>
  <w:style w:type="character" w:customStyle="1" w:styleId="24">
    <w:name w:val="标题 3 字符"/>
    <w:basedOn w:val="19"/>
    <w:link w:val="5"/>
    <w:semiHidden/>
    <w:qFormat/>
    <w:uiPriority w:val="9"/>
    <w:rPr>
      <w:rFonts w:asciiTheme="majorHAnsi" w:hAnsiTheme="majorHAnsi" w:eastAsiaTheme="majorEastAsia"/>
      <w:b/>
      <w:bCs/>
      <w:sz w:val="26"/>
      <w:szCs w:val="26"/>
    </w:rPr>
  </w:style>
  <w:style w:type="character" w:customStyle="1" w:styleId="25">
    <w:name w:val="标题 4 字符"/>
    <w:basedOn w:val="19"/>
    <w:link w:val="6"/>
    <w:semiHidden/>
    <w:qFormat/>
    <w:uiPriority w:val="9"/>
    <w:rPr>
      <w:b/>
      <w:bCs/>
      <w:sz w:val="28"/>
      <w:szCs w:val="28"/>
    </w:rPr>
  </w:style>
  <w:style w:type="character" w:customStyle="1" w:styleId="26">
    <w:name w:val="标题 5 字符"/>
    <w:basedOn w:val="19"/>
    <w:link w:val="7"/>
    <w:semiHidden/>
    <w:qFormat/>
    <w:uiPriority w:val="9"/>
    <w:rPr>
      <w:b/>
      <w:bCs/>
      <w:i/>
      <w:iCs/>
      <w:sz w:val="26"/>
      <w:szCs w:val="26"/>
    </w:rPr>
  </w:style>
  <w:style w:type="character" w:customStyle="1" w:styleId="27">
    <w:name w:val="标题 6 字符"/>
    <w:basedOn w:val="19"/>
    <w:link w:val="8"/>
    <w:semiHidden/>
    <w:qFormat/>
    <w:uiPriority w:val="9"/>
    <w:rPr>
      <w:b/>
      <w:bCs/>
    </w:rPr>
  </w:style>
  <w:style w:type="character" w:customStyle="1" w:styleId="28">
    <w:name w:val="标题 7 字符"/>
    <w:basedOn w:val="19"/>
    <w:link w:val="9"/>
    <w:semiHidden/>
    <w:qFormat/>
    <w:uiPriority w:val="9"/>
    <w:rPr>
      <w:sz w:val="24"/>
      <w:szCs w:val="24"/>
    </w:rPr>
  </w:style>
  <w:style w:type="character" w:customStyle="1" w:styleId="29">
    <w:name w:val="标题 8 字符"/>
    <w:basedOn w:val="19"/>
    <w:link w:val="10"/>
    <w:semiHidden/>
    <w:qFormat/>
    <w:uiPriority w:val="9"/>
    <w:rPr>
      <w:i/>
      <w:iCs/>
      <w:sz w:val="24"/>
      <w:szCs w:val="24"/>
    </w:rPr>
  </w:style>
  <w:style w:type="character" w:customStyle="1" w:styleId="30">
    <w:name w:val="标题 9 字符"/>
    <w:basedOn w:val="19"/>
    <w:link w:val="11"/>
    <w:semiHidden/>
    <w:qFormat/>
    <w:uiPriority w:val="9"/>
    <w:rPr>
      <w:rFonts w:asciiTheme="majorHAnsi" w:hAnsiTheme="majorHAnsi" w:eastAsiaTheme="majorEastAsia"/>
    </w:rPr>
  </w:style>
  <w:style w:type="character" w:customStyle="1" w:styleId="31">
    <w:name w:val="标题 字符"/>
    <w:basedOn w:val="19"/>
    <w:link w:val="17"/>
    <w:qFormat/>
    <w:uiPriority w:val="10"/>
    <w:rPr>
      <w:rFonts w:asciiTheme="majorHAnsi" w:hAnsiTheme="majorHAnsi" w:eastAsiaTheme="majorEastAsia"/>
      <w:b/>
      <w:bCs/>
      <w:kern w:val="28"/>
      <w:sz w:val="32"/>
      <w:szCs w:val="32"/>
    </w:rPr>
  </w:style>
  <w:style w:type="character" w:customStyle="1" w:styleId="32">
    <w:name w:val="副标题 字符"/>
    <w:basedOn w:val="19"/>
    <w:link w:val="16"/>
    <w:qFormat/>
    <w:uiPriority w:val="11"/>
    <w:rPr>
      <w:rFonts w:asciiTheme="majorHAnsi" w:hAnsiTheme="majorHAnsi" w:eastAsiaTheme="majorEastAsia"/>
      <w:sz w:val="24"/>
      <w:szCs w:val="24"/>
    </w:rPr>
  </w:style>
  <w:style w:type="paragraph" w:styleId="33">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autoRedefine/>
    <w:qFormat/>
    <w:uiPriority w:val="29"/>
    <w:pPr>
      <w:widowControl/>
      <w:jc w:val="left"/>
    </w:pPr>
    <w:rPr>
      <w:rFonts w:asciiTheme="minorHAnsi" w:hAnsiTheme="minorHAnsi" w:eastAsiaTheme="minorEastAsia"/>
      <w:i/>
      <w:kern w:val="0"/>
      <w:sz w:val="24"/>
    </w:rPr>
  </w:style>
  <w:style w:type="character" w:customStyle="1" w:styleId="35">
    <w:name w:val="引用 字符"/>
    <w:basedOn w:val="19"/>
    <w:link w:val="34"/>
    <w:autoRedefine/>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9"/>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9"/>
    <w:qFormat/>
    <w:uiPriority w:val="21"/>
    <w:rPr>
      <w:b/>
      <w:i/>
      <w:sz w:val="24"/>
      <w:szCs w:val="24"/>
      <w:u w:val="single"/>
    </w:rPr>
  </w:style>
  <w:style w:type="character" w:customStyle="1" w:styleId="40">
    <w:name w:val="不明显参考1"/>
    <w:basedOn w:val="19"/>
    <w:qFormat/>
    <w:uiPriority w:val="31"/>
    <w:rPr>
      <w:sz w:val="24"/>
      <w:szCs w:val="24"/>
      <w:u w:val="single"/>
    </w:rPr>
  </w:style>
  <w:style w:type="character" w:customStyle="1" w:styleId="41">
    <w:name w:val="明显参考1"/>
    <w:basedOn w:val="19"/>
    <w:qFormat/>
    <w:uiPriority w:val="32"/>
    <w:rPr>
      <w:b/>
      <w:sz w:val="24"/>
      <w:u w:val="single"/>
    </w:rPr>
  </w:style>
  <w:style w:type="character" w:customStyle="1" w:styleId="42">
    <w:name w:val="书籍标题1"/>
    <w:basedOn w:val="19"/>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9"/>
    <w:link w:val="15"/>
    <w:autoRedefine/>
    <w:qFormat/>
    <w:uiPriority w:val="99"/>
    <w:rPr>
      <w:rFonts w:ascii="Calibri" w:hAnsi="Calibri" w:eastAsia="宋体"/>
      <w:kern w:val="2"/>
      <w:sz w:val="18"/>
      <w:szCs w:val="18"/>
    </w:rPr>
  </w:style>
  <w:style w:type="character" w:customStyle="1" w:styleId="45">
    <w:name w:val="页脚 字符"/>
    <w:basedOn w:val="19"/>
    <w:link w:val="14"/>
    <w:qFormat/>
    <w:uiPriority w:val="99"/>
    <w:rPr>
      <w:rFonts w:ascii="Calibri" w:hAnsi="Calibri" w:eastAsia="宋体"/>
      <w:kern w:val="2"/>
      <w:sz w:val="18"/>
      <w:szCs w:val="18"/>
    </w:rPr>
  </w:style>
  <w:style w:type="character" w:customStyle="1" w:styleId="46">
    <w:name w:val="批注框文本 字符"/>
    <w:basedOn w:val="19"/>
    <w:link w:val="13"/>
    <w:semiHidden/>
    <w:qFormat/>
    <w:uiPriority w:val="99"/>
    <w:rPr>
      <w:rFonts w:ascii="Times New Roman" w:hAnsi="Times New Roman" w:eastAsia="宋体"/>
      <w:kern w:val="2"/>
      <w:sz w:val="18"/>
      <w:szCs w:val="18"/>
    </w:rPr>
  </w:style>
  <w:style w:type="paragraph" w:customStyle="1" w:styleId="47">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8">
    <w:name w:val="闻政-正文段落文字"/>
    <w:basedOn w:val="1"/>
    <w:qFormat/>
    <w:uiPriority w:val="3"/>
    <w:pPr>
      <w:spacing w:line="500" w:lineRule="exact"/>
      <w:ind w:firstLine="200"/>
    </w:pPr>
    <w:rPr>
      <w:kern w:val="0"/>
      <w:szCs w:val="28"/>
    </w:rPr>
  </w:style>
  <w:style w:type="paragraph" w:customStyle="1" w:styleId="49">
    <w:name w:val="闻政-正文二级标题"/>
    <w:basedOn w:val="3"/>
    <w:next w:val="48"/>
    <w:qFormat/>
    <w:uiPriority w:val="3"/>
    <w:pPr>
      <w:spacing w:before="120" w:line="500" w:lineRule="exact"/>
      <w:ind w:left="200" w:leftChars="200"/>
    </w:pPr>
    <w:rPr>
      <w:rFonts w:ascii="Times New Roman" w:hAnsi="Times New Roman"/>
    </w:rPr>
  </w:style>
  <w:style w:type="paragraph" w:customStyle="1" w:styleId="50">
    <w:name w:val="闻政-正文三级标题"/>
    <w:basedOn w:val="1"/>
    <w:next w:val="48"/>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1194</Words>
  <Characters>6808</Characters>
  <Lines>56</Lines>
  <Paragraphs>15</Paragraphs>
  <TotalTime>10</TotalTime>
  <ScaleCrop>false</ScaleCrop>
  <LinksUpToDate>false</LinksUpToDate>
  <CharactersWithSpaces>7987</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2024-03-21T09:44:46Z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36F27FB781C149E68B4F0B9D4C07EF42_12</vt:lpwstr>
  </property>
</Properties>
</file>