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1044" w:firstLineChars="200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600" w:lineRule="exact"/>
        <w:ind w:firstLine="1044" w:firstLineChars="200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600" w:lineRule="exact"/>
        <w:ind w:firstLine="1044" w:firstLineChars="200"/>
        <w:jc w:val="center"/>
        <w:rPr>
          <w:rFonts w:hint="eastAsia"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600" w:lineRule="exact"/>
        <w:ind w:firstLine="1044" w:firstLineChars="200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600" w:lineRule="exact"/>
        <w:ind w:firstLine="1044" w:firstLineChars="200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60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新疆维吾尔自治区巴州和静县国土资源局项目支出绩效自评报告</w:t>
      </w:r>
    </w:p>
    <w:p>
      <w:pPr>
        <w:spacing w:line="600" w:lineRule="exact"/>
        <w:ind w:firstLine="1044" w:firstLineChars="200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600" w:lineRule="exact"/>
        <w:ind w:firstLine="720" w:firstLineChars="200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（2018年度）</w:t>
      </w:r>
    </w:p>
    <w:p>
      <w:pPr>
        <w:spacing w:line="600" w:lineRule="exact"/>
        <w:ind w:firstLine="600" w:firstLineChars="200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600" w:lineRule="exact"/>
        <w:ind w:firstLine="600" w:firstLineChars="200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600" w:lineRule="exact"/>
        <w:ind w:firstLine="600" w:firstLineChars="200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600" w:lineRule="exact"/>
        <w:ind w:firstLine="600" w:firstLineChars="200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600" w:lineRule="exact"/>
        <w:ind w:firstLine="600" w:firstLineChars="200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600" w:lineRule="exact"/>
        <w:ind w:firstLine="720" w:firstLineChars="200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项目名称：地质灾害防治高标准“十有县”运行工作经费</w:t>
      </w:r>
    </w:p>
    <w:p>
      <w:pPr>
        <w:spacing w:line="600" w:lineRule="exact"/>
        <w:ind w:firstLine="720" w:firstLineChars="20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实施单位（公章）：和静县国土资源局</w:t>
      </w:r>
    </w:p>
    <w:p>
      <w:pPr>
        <w:spacing w:line="600" w:lineRule="exact"/>
        <w:ind w:firstLine="720" w:firstLineChars="20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主管部门（公章）：巴州国土资源局</w:t>
      </w:r>
    </w:p>
    <w:p>
      <w:pPr>
        <w:spacing w:line="600" w:lineRule="exact"/>
        <w:ind w:firstLine="720" w:firstLineChars="20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项目负责人（签章）：毛拉吉·阿布拉</w:t>
      </w:r>
    </w:p>
    <w:p>
      <w:pPr>
        <w:spacing w:line="600" w:lineRule="exact"/>
        <w:ind w:firstLine="720" w:firstLineChars="20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填报时间：2019年1月23日</w:t>
      </w:r>
    </w:p>
    <w:p>
      <w:pPr>
        <w:spacing w:line="600" w:lineRule="exact"/>
        <w:ind w:firstLine="600" w:firstLineChars="200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600" w:lineRule="exact"/>
        <w:ind w:firstLine="624" w:firstLineChars="20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600" w:lineRule="exact"/>
        <w:ind w:firstLine="624" w:firstLineChars="20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600" w:lineRule="exact"/>
        <w:ind w:firstLine="627" w:firstLineChars="20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600" w:lineRule="exact"/>
        <w:ind w:firstLine="624" w:firstLineChars="200"/>
        <w:rPr>
          <w:rStyle w:val="18"/>
          <w:rFonts w:ascii="仿宋_GB2312" w:hAnsi="楷体" w:eastAsia="仿宋_GB2312"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b w:val="0"/>
          <w:spacing w:val="-4"/>
          <w:sz w:val="32"/>
          <w:szCs w:val="32"/>
        </w:rPr>
        <w:t>我县2015年完成高标准十有县创建工作，后期运行继续按照高标准“十有县”（有制度、有机构、有经费、有监测、有预警、有评估、有避让、有宣传、有演练、有效果）的标准，着力提升地质灾害防治工作组织协调管理、专业技术支撑、项目经费保障、防治措施落实、规避灾害风险等能力，全力保障人民群众生命财产安全。将地质灾害防治经费列入年度财政预算，实行地质灾害防治经费专户</w:t>
      </w:r>
      <w:r>
        <w:rPr>
          <w:rStyle w:val="18"/>
          <w:rFonts w:hint="eastAsia" w:ascii="仿宋_GB2312" w:hAnsi="仿宋" w:eastAsia="仿宋_GB2312"/>
          <w:b w:val="0"/>
          <w:spacing w:val="-4"/>
          <w:sz w:val="32"/>
          <w:szCs w:val="32"/>
          <w:lang w:eastAsia="zh-CN"/>
        </w:rPr>
        <w:t>专账管理</w:t>
      </w:r>
      <w:bookmarkStart w:id="0" w:name="_GoBack"/>
      <w:bookmarkEnd w:id="0"/>
      <w:r>
        <w:rPr>
          <w:rStyle w:val="18"/>
          <w:rFonts w:hint="eastAsia" w:ascii="仿宋_GB2312" w:hAnsi="仿宋" w:eastAsia="仿宋_GB2312"/>
          <w:b w:val="0"/>
          <w:spacing w:val="-4"/>
          <w:sz w:val="32"/>
          <w:szCs w:val="32"/>
        </w:rPr>
        <w:t>，确保工作顺利实施。</w:t>
      </w:r>
    </w:p>
    <w:p>
      <w:pPr>
        <w:spacing w:line="600" w:lineRule="exact"/>
        <w:ind w:firstLine="627" w:firstLineChars="20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8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spacing w:line="600" w:lineRule="exact"/>
        <w:ind w:firstLine="624" w:firstLineChars="200"/>
        <w:rPr>
          <w:rStyle w:val="18"/>
          <w:rFonts w:ascii="仿宋_GB2312" w:hAnsi="仿宋" w:eastAsia="仿宋_GB2312"/>
          <w:b w:val="0"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b w:val="0"/>
          <w:spacing w:val="-4"/>
          <w:sz w:val="32"/>
          <w:szCs w:val="32"/>
        </w:rPr>
        <w:t>设置警示牌：6个，对6处地质灾害易发区提醒告知；宣传培训材料3000份，宣传板报10块，</w:t>
      </w:r>
      <w:r>
        <w:rPr>
          <w:rStyle w:val="18"/>
          <w:rFonts w:hint="eastAsia" w:ascii="仿宋_GB2312" w:hAnsi="仿宋" w:eastAsia="仿宋_GB2312"/>
          <w:b w:val="0"/>
          <w:spacing w:val="-4"/>
          <w:sz w:val="32"/>
          <w:szCs w:val="32"/>
          <w:lang w:eastAsia="zh-CN"/>
        </w:rPr>
        <w:t>增强</w:t>
      </w:r>
      <w:r>
        <w:rPr>
          <w:rStyle w:val="18"/>
          <w:rFonts w:hint="eastAsia" w:ascii="仿宋_GB2312" w:hAnsi="仿宋" w:eastAsia="仿宋_GB2312"/>
          <w:b w:val="0"/>
          <w:spacing w:val="-4"/>
          <w:sz w:val="32"/>
          <w:szCs w:val="32"/>
        </w:rPr>
        <w:t>社会各界的防灾意识。</w:t>
      </w:r>
    </w:p>
    <w:p>
      <w:pPr>
        <w:spacing w:line="600" w:lineRule="exact"/>
        <w:ind w:firstLine="624" w:firstLineChars="20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600" w:lineRule="exact"/>
        <w:ind w:firstLine="627" w:firstLineChars="20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自治区地质灾害群测群防体系建设项目资金2万元</w:t>
      </w:r>
    </w:p>
    <w:p>
      <w:pPr>
        <w:spacing w:line="600" w:lineRule="exact"/>
        <w:ind w:firstLine="627" w:firstLineChars="20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6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eastAsia="zh-CN"/>
        </w:rPr>
        <w:t>块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警示牌：规格2.3*1.8，制作经费：2600元/块，共计：15600元。宣传册3000份，宣传板报10块。</w:t>
      </w:r>
    </w:p>
    <w:p>
      <w:pPr>
        <w:spacing w:line="600" w:lineRule="exact"/>
        <w:ind w:firstLine="627" w:firstLineChars="20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60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设置警示牌：6个，对6处地质灾害易发区提醒告知；宣传培训材料3000份，宣传板报10块，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增强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社会各界的防灾意识。以上事项均已落实到位。</w:t>
      </w:r>
    </w:p>
    <w:p>
      <w:pPr>
        <w:spacing w:line="600" w:lineRule="exact"/>
        <w:ind w:firstLine="624" w:firstLineChars="20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600" w:lineRule="exact"/>
        <w:ind w:firstLine="627" w:firstLineChars="20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600" w:lineRule="exact"/>
        <w:ind w:firstLine="624" w:firstLineChars="200"/>
        <w:rPr>
          <w:rStyle w:val="18"/>
          <w:rFonts w:ascii="仿宋_GB2312" w:hAnsi="仿宋" w:eastAsia="仿宋_GB2312"/>
          <w:b w:val="0"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b w:val="0"/>
          <w:spacing w:val="-4"/>
          <w:sz w:val="32"/>
          <w:szCs w:val="32"/>
        </w:rPr>
        <w:t>制作警示牌和印刷宣传册均已签订合同，已实施。</w:t>
      </w:r>
    </w:p>
    <w:p>
      <w:pPr>
        <w:spacing w:line="600" w:lineRule="exact"/>
        <w:ind w:firstLine="627" w:firstLineChars="20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600" w:lineRule="exact"/>
        <w:ind w:firstLine="624" w:firstLineChars="200"/>
        <w:rPr>
          <w:rStyle w:val="18"/>
          <w:rFonts w:ascii="仿宋_GB2312" w:hAnsi="仿宋" w:eastAsia="仿宋_GB2312"/>
          <w:b w:val="0"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b w:val="0"/>
          <w:spacing w:val="-4"/>
          <w:sz w:val="32"/>
          <w:szCs w:val="32"/>
        </w:rPr>
        <w:t>警示牌已设置在地质灾害易发区；4.22世界地球日、5.12防灾减灾日实施宣传。</w:t>
      </w:r>
    </w:p>
    <w:p>
      <w:pPr>
        <w:spacing w:line="600" w:lineRule="exact"/>
        <w:ind w:firstLine="624" w:firstLineChars="20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spacing w:line="600" w:lineRule="exact"/>
        <w:ind w:firstLine="627" w:firstLineChars="20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60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设置警示牌：6个，对6处地质灾害易发区提醒告知；宣传培训材料3000份，宣传板报10块，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增强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社会各界的防灾意识。</w:t>
      </w:r>
    </w:p>
    <w:p>
      <w:pPr>
        <w:spacing w:line="600" w:lineRule="exact"/>
        <w:ind w:firstLine="627" w:firstLineChars="20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600" w:lineRule="exact"/>
        <w:ind w:firstLine="624" w:firstLineChars="20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无。</w:t>
      </w:r>
    </w:p>
    <w:p>
      <w:pPr>
        <w:spacing w:line="600" w:lineRule="exact"/>
        <w:ind w:firstLine="624" w:firstLineChars="20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600" w:lineRule="exact"/>
        <w:ind w:firstLine="627" w:firstLineChars="20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600" w:lineRule="exact"/>
        <w:ind w:firstLine="624" w:firstLineChars="200"/>
        <w:rPr>
          <w:rFonts w:ascii="仿宋_GB2312" w:hAnsi="楷体" w:eastAsia="仿宋_GB2312"/>
          <w:b/>
          <w:spacing w:val="-4"/>
          <w:sz w:val="32"/>
          <w:szCs w:val="32"/>
        </w:rPr>
      </w:pPr>
      <w:r>
        <w:rPr>
          <w:rFonts w:hint="eastAsia" w:ascii="仿宋_GB2312" w:hAnsi="楷体" w:eastAsia="仿宋_GB2312"/>
          <w:spacing w:val="-4"/>
          <w:sz w:val="32"/>
          <w:szCs w:val="32"/>
        </w:rPr>
        <w:t>无</w:t>
      </w:r>
      <w:r>
        <w:rPr>
          <w:rFonts w:hint="eastAsia" w:ascii="仿宋_GB2312" w:hAnsi="楷体" w:eastAsia="仿宋_GB2312"/>
          <w:b/>
          <w:spacing w:val="-4"/>
          <w:sz w:val="32"/>
          <w:szCs w:val="32"/>
        </w:rPr>
        <w:t>。</w:t>
      </w:r>
    </w:p>
    <w:p>
      <w:pPr>
        <w:spacing w:line="600" w:lineRule="exact"/>
        <w:ind w:firstLine="627" w:firstLineChars="20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spacing w:line="600" w:lineRule="exact"/>
        <w:ind w:firstLine="624" w:firstLineChars="200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3家单位报价后，价格低者竟得。</w:t>
      </w:r>
    </w:p>
    <w:p>
      <w:pPr>
        <w:spacing w:line="600" w:lineRule="exact"/>
        <w:ind w:firstLine="627" w:firstLineChars="20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spacing w:line="600" w:lineRule="exact"/>
        <w:ind w:firstLine="624" w:firstLineChars="200"/>
        <w:rPr>
          <w:rFonts w:ascii="仿宋_GB2312" w:hAnsi="楷体" w:eastAsia="仿宋_GB2312"/>
          <w:spacing w:val="-4"/>
          <w:sz w:val="32"/>
          <w:szCs w:val="32"/>
        </w:rPr>
      </w:pPr>
      <w:r>
        <w:rPr>
          <w:rFonts w:hint="eastAsia" w:ascii="仿宋_GB2312" w:hAnsi="楷体" w:eastAsia="仿宋_GB2312"/>
          <w:spacing w:val="-4"/>
          <w:sz w:val="32"/>
          <w:szCs w:val="32"/>
        </w:rPr>
        <w:t>无</w:t>
      </w:r>
    </w:p>
    <w:p>
      <w:pPr>
        <w:spacing w:line="600" w:lineRule="exact"/>
        <w:ind w:firstLine="624" w:firstLineChars="20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spacing w:line="600" w:lineRule="exact"/>
        <w:ind w:firstLine="624" w:firstLineChars="200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包括评价基础数据收集、资料来源和依据等佐证材料情况，项目现场勘验检查核实等情况</w:t>
      </w:r>
    </w:p>
    <w:p>
      <w:pPr>
        <w:spacing w:line="600" w:lineRule="exact"/>
        <w:ind w:firstLine="624" w:firstLineChars="20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60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《和静县国土资源局项目支出绩效自评表》</w:t>
      </w: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TMzMjA0MGM5MTIzMGI3YzZhNWY5Zjk1YjRhMWM5MGUifQ=="/>
  </w:docVars>
  <w:rsids>
    <w:rsidRoot w:val="00172A27"/>
    <w:rsid w:val="00024BDF"/>
    <w:rsid w:val="00056465"/>
    <w:rsid w:val="00067336"/>
    <w:rsid w:val="0007331D"/>
    <w:rsid w:val="000F110A"/>
    <w:rsid w:val="00121AE4"/>
    <w:rsid w:val="00146AAD"/>
    <w:rsid w:val="0017194F"/>
    <w:rsid w:val="00172A27"/>
    <w:rsid w:val="00172BD1"/>
    <w:rsid w:val="001B06AC"/>
    <w:rsid w:val="001B3A40"/>
    <w:rsid w:val="001B6581"/>
    <w:rsid w:val="001C6120"/>
    <w:rsid w:val="00225000"/>
    <w:rsid w:val="002574E5"/>
    <w:rsid w:val="0029359D"/>
    <w:rsid w:val="002E590A"/>
    <w:rsid w:val="0032567E"/>
    <w:rsid w:val="003908B7"/>
    <w:rsid w:val="003A23A7"/>
    <w:rsid w:val="004366A8"/>
    <w:rsid w:val="00443743"/>
    <w:rsid w:val="0045534A"/>
    <w:rsid w:val="00480A1E"/>
    <w:rsid w:val="004C1549"/>
    <w:rsid w:val="004E71E7"/>
    <w:rsid w:val="00502BA7"/>
    <w:rsid w:val="005162F1"/>
    <w:rsid w:val="00535153"/>
    <w:rsid w:val="00554F82"/>
    <w:rsid w:val="00557407"/>
    <w:rsid w:val="0056390D"/>
    <w:rsid w:val="005719B0"/>
    <w:rsid w:val="005908A8"/>
    <w:rsid w:val="005D10D6"/>
    <w:rsid w:val="005D3A71"/>
    <w:rsid w:val="00607D6D"/>
    <w:rsid w:val="006758E6"/>
    <w:rsid w:val="0069633C"/>
    <w:rsid w:val="006E6BB4"/>
    <w:rsid w:val="007204B9"/>
    <w:rsid w:val="00734C7D"/>
    <w:rsid w:val="00743B81"/>
    <w:rsid w:val="00800BF1"/>
    <w:rsid w:val="00855E3A"/>
    <w:rsid w:val="008742E8"/>
    <w:rsid w:val="00922CB9"/>
    <w:rsid w:val="0092573B"/>
    <w:rsid w:val="009564B6"/>
    <w:rsid w:val="0096488C"/>
    <w:rsid w:val="00965E0E"/>
    <w:rsid w:val="009D4115"/>
    <w:rsid w:val="009E5CD9"/>
    <w:rsid w:val="00A060A2"/>
    <w:rsid w:val="00A26421"/>
    <w:rsid w:val="00A4293B"/>
    <w:rsid w:val="00A67D50"/>
    <w:rsid w:val="00A8691A"/>
    <w:rsid w:val="00AC1946"/>
    <w:rsid w:val="00B15E71"/>
    <w:rsid w:val="00B26F21"/>
    <w:rsid w:val="00B40063"/>
    <w:rsid w:val="00B41F61"/>
    <w:rsid w:val="00B95DF4"/>
    <w:rsid w:val="00BA46E6"/>
    <w:rsid w:val="00C21CCE"/>
    <w:rsid w:val="00C56C72"/>
    <w:rsid w:val="00C65FFC"/>
    <w:rsid w:val="00C965A2"/>
    <w:rsid w:val="00CA6457"/>
    <w:rsid w:val="00CC64C9"/>
    <w:rsid w:val="00CE54B7"/>
    <w:rsid w:val="00CF035C"/>
    <w:rsid w:val="00D06CBA"/>
    <w:rsid w:val="00D16AF4"/>
    <w:rsid w:val="00D17F2E"/>
    <w:rsid w:val="00D30354"/>
    <w:rsid w:val="00D55F5A"/>
    <w:rsid w:val="00D7641C"/>
    <w:rsid w:val="00D926BD"/>
    <w:rsid w:val="00DB4E8D"/>
    <w:rsid w:val="00DC4138"/>
    <w:rsid w:val="00DD4E24"/>
    <w:rsid w:val="00DF42A0"/>
    <w:rsid w:val="00E00D00"/>
    <w:rsid w:val="00E769FE"/>
    <w:rsid w:val="00EA2CBE"/>
    <w:rsid w:val="00F07D7C"/>
    <w:rsid w:val="00F14BFD"/>
    <w:rsid w:val="00F32FEE"/>
    <w:rsid w:val="00F63576"/>
    <w:rsid w:val="00F91706"/>
    <w:rsid w:val="00FB10BB"/>
    <w:rsid w:val="00FB5C1C"/>
    <w:rsid w:val="32ED1E20"/>
    <w:rsid w:val="37FD5FA5"/>
    <w:rsid w:val="47B51005"/>
    <w:rsid w:val="53FC6073"/>
    <w:rsid w:val="557A73BC"/>
    <w:rsid w:val="57B56219"/>
    <w:rsid w:val="6A0065D5"/>
    <w:rsid w:val="73BE1FE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Char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Char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Char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Char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Char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Char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Char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Char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Char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Char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Char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Char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Char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5"/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Char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Char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Char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147</Words>
  <Characters>844</Characters>
  <Lines>7</Lines>
  <Paragraphs>1</Paragraphs>
  <TotalTime>59</TotalTime>
  <ScaleCrop>false</ScaleCrop>
  <LinksUpToDate>false</LinksUpToDate>
  <CharactersWithSpaces>990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布舵</cp:lastModifiedBy>
  <cp:lastPrinted>2018-12-31T10:56:00Z</cp:lastPrinted>
  <dcterms:modified xsi:type="dcterms:W3CDTF">2024-01-10T11:12:09Z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1477D649EB5B4D6292D4B038E66B9051_12</vt:lpwstr>
  </property>
</Properties>
</file>