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600" w:lineRule="auto"/>
        <w:ind w:left="0" w:right="0" w:firstLine="0"/>
        <w:jc w:val="center"/>
        <w:rPr>
          <w:rFonts w:ascii="方正小标宋_GBK" w:hAnsi="方正小标宋_GBK" w:eastAsia="方正小标宋_GBK" w:cs="方正小标宋_GBK"/>
          <w:color w:val="auto"/>
          <w:spacing w:val="0"/>
          <w:position w:val="0"/>
          <w:sz w:val="44"/>
          <w:shd w:val="clear" w:fill="auto"/>
        </w:rPr>
      </w:pPr>
    </w:p>
    <w:p>
      <w:pPr>
        <w:spacing w:before="0" w:after="0" w:line="600" w:lineRule="auto"/>
        <w:ind w:left="0" w:right="0" w:firstLine="0"/>
        <w:jc w:val="center"/>
        <w:rPr>
          <w:rFonts w:ascii="方正小标宋_GBK" w:hAnsi="方正小标宋_GBK" w:eastAsia="方正小标宋_GBK" w:cs="方正小标宋_GBK"/>
          <w:color w:val="auto"/>
          <w:spacing w:val="0"/>
          <w:position w:val="0"/>
          <w:sz w:val="44"/>
          <w:shd w:val="clear" w:fill="auto"/>
        </w:rPr>
      </w:pPr>
    </w:p>
    <w:p>
      <w:pPr>
        <w:spacing w:before="0" w:after="0" w:line="600" w:lineRule="auto"/>
        <w:ind w:left="0" w:right="0" w:firstLine="0"/>
        <w:jc w:val="center"/>
        <w:rPr>
          <w:rFonts w:ascii="方正小标宋_GBK" w:hAnsi="方正小标宋_GBK" w:eastAsia="方正小标宋_GBK" w:cs="方正小标宋_GBK"/>
          <w:color w:val="auto"/>
          <w:spacing w:val="0"/>
          <w:position w:val="0"/>
          <w:sz w:val="44"/>
          <w:shd w:val="clear" w:fill="auto"/>
        </w:rPr>
      </w:pPr>
    </w:p>
    <w:p>
      <w:pPr>
        <w:spacing w:before="0" w:after="0" w:line="600" w:lineRule="auto"/>
        <w:ind w:left="0" w:right="0" w:firstLine="0"/>
        <w:jc w:val="center"/>
        <w:rPr>
          <w:rFonts w:ascii="方正小标宋_GBK" w:hAnsi="方正小标宋_GBK" w:eastAsia="方正小标宋_GBK" w:cs="方正小标宋_GBK"/>
          <w:color w:val="auto"/>
          <w:spacing w:val="0"/>
          <w:position w:val="0"/>
          <w:sz w:val="44"/>
          <w:shd w:val="clear" w:fill="auto"/>
        </w:rPr>
      </w:pPr>
    </w:p>
    <w:p>
      <w:pPr>
        <w:spacing w:before="0" w:after="0" w:line="600" w:lineRule="auto"/>
        <w:ind w:left="0" w:right="0" w:firstLine="0"/>
        <w:jc w:val="center"/>
        <w:rPr>
          <w:rFonts w:ascii="方正小标宋_GBK" w:hAnsi="方正小标宋_GBK" w:eastAsia="方正小标宋_GBK" w:cs="方正小标宋_GBK"/>
          <w:color w:val="auto"/>
          <w:spacing w:val="0"/>
          <w:position w:val="0"/>
          <w:sz w:val="44"/>
          <w:shd w:val="clear" w:fill="auto"/>
        </w:rPr>
      </w:pPr>
    </w:p>
    <w:p>
      <w:pPr>
        <w:spacing w:before="0" w:after="0" w:line="600" w:lineRule="auto"/>
        <w:ind w:left="0" w:right="0" w:firstLine="0"/>
        <w:jc w:val="center"/>
        <w:rPr>
          <w:rFonts w:ascii="方正小标宋_GBK" w:hAnsi="方正小标宋_GBK" w:eastAsia="方正小标宋_GBK" w:cs="方正小标宋_GBK"/>
          <w:color w:val="000000"/>
          <w:spacing w:val="0"/>
          <w:position w:val="0"/>
          <w:sz w:val="44"/>
          <w:shd w:val="clear" w:fill="auto"/>
        </w:rPr>
      </w:pPr>
      <w:r>
        <w:rPr>
          <w:rFonts w:ascii="方正小标宋_GBK" w:hAnsi="方正小标宋_GBK" w:eastAsia="方正小标宋_GBK" w:cs="方正小标宋_GBK"/>
          <w:color w:val="auto"/>
          <w:spacing w:val="0"/>
          <w:position w:val="0"/>
          <w:sz w:val="44"/>
          <w:shd w:val="clear" w:fill="auto"/>
        </w:rPr>
        <w:t>2018年度</w:t>
      </w:r>
      <w:r>
        <w:rPr>
          <w:rFonts w:ascii="方正小标宋_GBK" w:hAnsi="方正小标宋_GBK" w:eastAsia="方正小标宋_GBK" w:cs="方正小标宋_GBK"/>
          <w:color w:val="000000"/>
          <w:spacing w:val="0"/>
          <w:position w:val="0"/>
          <w:sz w:val="44"/>
          <w:shd w:val="clear" w:fill="auto"/>
        </w:rPr>
        <w:t>新疆巴音郭楞蒙古自治州和静县人民医院部门决算公开说明</w:t>
      </w: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p>
    <w:p>
      <w:pPr>
        <w:spacing w:before="0" w:after="0" w:line="600" w:lineRule="auto"/>
        <w:ind w:left="0" w:right="0" w:firstLine="640"/>
        <w:jc w:val="center"/>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目  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第一部分 部门单位概况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一、主要职能</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hint="eastAsia" w:ascii="仿宋_GB2312" w:hAnsi="仿宋_GB2312" w:eastAsia="仿宋_GB2312" w:cs="仿宋_GB2312"/>
          <w:color w:val="auto"/>
          <w:spacing w:val="0"/>
          <w:position w:val="0"/>
          <w:sz w:val="32"/>
          <w:shd w:val="clear" w:fill="auto"/>
          <w:lang w:val="en-US" w:eastAsia="zh-CN"/>
        </w:rPr>
      </w:pPr>
      <w:r>
        <w:rPr>
          <w:rFonts w:ascii="仿宋_GB2312" w:hAnsi="仿宋_GB2312" w:eastAsia="仿宋_GB2312" w:cs="仿宋_GB2312"/>
          <w:color w:val="auto"/>
          <w:spacing w:val="0"/>
          <w:position w:val="0"/>
          <w:sz w:val="32"/>
          <w:shd w:val="clear" w:fill="auto"/>
        </w:rPr>
        <w:t>二、机构设置情况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jc w:val="both"/>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第二部分 部门决算情况说明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一、部门收支总体情况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（一）部门收入支出决算总体情况说明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（二）部门收入总体情况说明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（三）部门支出总体情况说明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二、部门财政拨款收支情况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（一）财政拨款收支总体情况说明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（二）一般公共预算收支决算情况说明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（三）政府性基金预算收支决算情况说明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三、部门结转结余情况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四、一般公共预算“三公”经费支出情况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五、机关运行经费支出情况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六、政府采购情况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七、其他重要事项的情况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（一）国有资产占用情况说明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（二）预算绩效情况的说明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jc w:val="both"/>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第三部分 专业名词解释</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jc w:val="both"/>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第四部分 部门决算公开的8张报表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《收入支出决算总表》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《收入决算表》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《支出决算表》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《财政拨款收入支出决算总表》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《一般公共预算财政拨款支出决算表》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《政府性基金预算财政拨款收入支出决算表》</w:t>
      </w: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spacing w:before="0" w:after="0" w:line="600" w:lineRule="auto"/>
        <w:ind w:left="-141" w:right="0" w:firstLine="643"/>
        <w:jc w:val="center"/>
        <w:rPr>
          <w:rFonts w:ascii="黑体" w:hAnsi="黑体" w:eastAsia="黑体" w:cs="黑体"/>
          <w:b/>
          <w:color w:val="auto"/>
          <w:spacing w:val="0"/>
          <w:position w:val="0"/>
          <w:sz w:val="32"/>
          <w:shd w:val="clear" w:fill="auto"/>
        </w:rPr>
      </w:pPr>
    </w:p>
    <w:p>
      <w:pPr>
        <w:keepNext w:val="0"/>
        <w:keepLines w:val="0"/>
        <w:pageBreakBefore w:val="0"/>
        <w:widowControl w:val="0"/>
        <w:kinsoku/>
        <w:wordWrap/>
        <w:overflowPunct/>
        <w:topLinePunct w:val="0"/>
        <w:autoSpaceDE/>
        <w:autoSpaceDN/>
        <w:bidi w:val="0"/>
        <w:adjustRightInd/>
        <w:snapToGrid/>
        <w:spacing w:before="0" w:after="0" w:line="600" w:lineRule="exact"/>
        <w:ind w:left="-141" w:right="0" w:firstLine="643"/>
        <w:jc w:val="center"/>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第一部分 部门单位概况</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502" w:leftChars="0" w:right="0" w:rightChars="0"/>
        <w:jc w:val="both"/>
        <w:textAlignment w:val="auto"/>
        <w:rPr>
          <w:rFonts w:ascii="黑体" w:hAnsi="黑体" w:eastAsia="黑体" w:cs="黑体"/>
          <w:b/>
          <w:color w:val="auto"/>
          <w:spacing w:val="0"/>
          <w:position w:val="0"/>
          <w:sz w:val="32"/>
          <w:shd w:val="clear" w:fill="auto"/>
        </w:rPr>
      </w:pPr>
      <w:r>
        <w:rPr>
          <w:rFonts w:hint="eastAsia" w:ascii="黑体" w:hAnsi="黑体" w:eastAsia="黑体" w:cs="黑体"/>
          <w:b/>
          <w:color w:val="auto"/>
          <w:spacing w:val="0"/>
          <w:position w:val="0"/>
          <w:sz w:val="32"/>
          <w:shd w:val="clear" w:fill="auto"/>
          <w:lang w:eastAsia="zh-CN"/>
        </w:rPr>
        <w:t>一、</w:t>
      </w:r>
      <w:r>
        <w:rPr>
          <w:rFonts w:ascii="黑体" w:hAnsi="黑体" w:eastAsia="黑体" w:cs="黑体"/>
          <w:b/>
          <w:color w:val="auto"/>
          <w:spacing w:val="0"/>
          <w:position w:val="0"/>
          <w:sz w:val="32"/>
          <w:shd w:val="clear" w:fill="auto"/>
        </w:rPr>
        <w:t>主要职能：</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1.承担全县各族人民医疗保健与卫生健康保障工作。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2.开展全面健康体检及各类职业健康体检工作。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3.开展医疗技能培训及医疗保健服务工作。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4.设立特色中西医</w:t>
      </w:r>
      <w:r>
        <w:rPr>
          <w:rFonts w:hint="eastAsia" w:ascii="仿宋_GB2312" w:hAnsi="仿宋_GB2312" w:eastAsia="仿宋_GB2312" w:cs="仿宋_GB2312"/>
          <w:color w:val="auto"/>
          <w:spacing w:val="0"/>
          <w:position w:val="0"/>
          <w:sz w:val="32"/>
          <w:shd w:val="clear" w:fill="auto"/>
          <w:lang w:val="en-US" w:eastAsia="zh-CN"/>
        </w:rPr>
        <w:t>民</w:t>
      </w:r>
      <w:bookmarkStart w:id="0" w:name="_GoBack"/>
      <w:bookmarkEnd w:id="0"/>
      <w:r>
        <w:rPr>
          <w:rFonts w:ascii="仿宋_GB2312" w:hAnsi="仿宋_GB2312" w:eastAsia="仿宋_GB2312" w:cs="仿宋_GB2312"/>
          <w:color w:val="auto"/>
          <w:spacing w:val="0"/>
          <w:position w:val="0"/>
          <w:sz w:val="32"/>
          <w:shd w:val="clear" w:fill="auto"/>
        </w:rPr>
        <w:t>族医学科和康复理疗保健科。</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hint="eastAsia" w:ascii="仿宋_GB2312" w:hAnsi="仿宋_GB2312" w:eastAsia="仿宋_GB2312" w:cs="仿宋_GB2312"/>
          <w:color w:val="auto"/>
          <w:spacing w:val="0"/>
          <w:position w:val="0"/>
          <w:sz w:val="32"/>
          <w:shd w:val="clear" w:fill="auto"/>
          <w:lang w:eastAsia="zh-CN"/>
        </w:rPr>
      </w:pPr>
      <w:r>
        <w:rPr>
          <w:rFonts w:ascii="仿宋_GB2312" w:hAnsi="仿宋_GB2312" w:eastAsia="仿宋_GB2312" w:cs="仿宋_GB2312"/>
          <w:color w:val="auto"/>
          <w:spacing w:val="0"/>
          <w:position w:val="0"/>
          <w:sz w:val="32"/>
          <w:shd w:val="clear" w:fill="auto"/>
        </w:rPr>
        <w:t>5.涉及各项专业性医学检测与相关检测证明等工作</w:t>
      </w:r>
      <w:r>
        <w:rPr>
          <w:rFonts w:hint="eastAsia" w:ascii="仿宋_GB2312" w:hAnsi="仿宋_GB2312" w:eastAsia="仿宋_GB2312" w:cs="仿宋_GB2312"/>
          <w:color w:val="auto"/>
          <w:spacing w:val="0"/>
          <w:position w:val="0"/>
          <w:sz w:val="32"/>
          <w:highlight w:val="none"/>
          <w:shd w:val="clear" w:fill="auto"/>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6.开展精神病患者特需科室，保障精神类患者防治防预工作。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7.负责全县包虫病患者医疗救助与预防等相关工作。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w:t>
      </w:r>
      <w:r>
        <w:rPr>
          <w:rFonts w:ascii="黑体" w:hAnsi="黑体" w:eastAsia="黑体" w:cs="黑体"/>
          <w:b/>
          <w:color w:val="auto"/>
          <w:spacing w:val="0"/>
          <w:position w:val="0"/>
          <w:sz w:val="32"/>
          <w:shd w:val="clear" w:fill="auto"/>
        </w:rPr>
        <w:t>机构设置情况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从决算单位构成看，新疆巴音郭楞蒙古自治州和静县人民医院部门决算包括：新疆巴音郭楞蒙古自治州和静县人民医院部门本级决算、所属单位决算等。</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6"/>
          <w:position w:val="0"/>
          <w:sz w:val="32"/>
          <w:shd w:val="clear" w:fill="auto"/>
        </w:rPr>
      </w:pPr>
      <w:r>
        <w:rPr>
          <w:rFonts w:ascii="仿宋_GB2312" w:hAnsi="仿宋_GB2312" w:eastAsia="仿宋_GB2312" w:cs="仿宋_GB2312"/>
          <w:color w:val="auto"/>
          <w:spacing w:val="0"/>
          <w:position w:val="0"/>
          <w:sz w:val="32"/>
          <w:shd w:val="clear" w:fill="auto"/>
        </w:rPr>
        <w:t>纳入新疆巴音郭楞蒙古自治州和静县人民医院2018年部门决算编制范围的单位名单见下表</w:t>
      </w:r>
      <w:r>
        <w:rPr>
          <w:rFonts w:ascii="仿宋_GB2312" w:hAnsi="仿宋_GB2312" w:eastAsia="仿宋_GB2312" w:cs="仿宋_GB2312"/>
          <w:color w:val="auto"/>
          <w:spacing w:val="-6"/>
          <w:position w:val="0"/>
          <w:sz w:val="32"/>
          <w:shd w:val="clear" w:fill="auto"/>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6"/>
          <w:position w:val="0"/>
          <w:sz w:val="32"/>
          <w:shd w:val="clear" w:fill="auto"/>
        </w:rPr>
      </w:pPr>
    </w:p>
    <w:tbl>
      <w:tblPr>
        <w:tblStyle w:val="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694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trPr>
        <w:tc>
          <w:tcPr>
            <w:tcW w:w="1101" w:type="dxa"/>
            <w:noWrap w:val="0"/>
            <w:vAlign w:val="center"/>
          </w:tcPr>
          <w:p>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序号</w:t>
            </w:r>
          </w:p>
        </w:tc>
        <w:tc>
          <w:tcPr>
            <w:tcW w:w="6945" w:type="dxa"/>
            <w:noWrap w:val="0"/>
            <w:vAlign w:val="center"/>
          </w:tcPr>
          <w:p>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单位名称</w:t>
            </w:r>
          </w:p>
        </w:tc>
        <w:tc>
          <w:tcPr>
            <w:tcW w:w="1418" w:type="dxa"/>
            <w:noWrap w:val="0"/>
            <w:vAlign w:val="center"/>
          </w:tcPr>
          <w:p>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exact"/>
        </w:trPr>
        <w:tc>
          <w:tcPr>
            <w:tcW w:w="1101" w:type="dxa"/>
            <w:noWrap w:val="0"/>
            <w:vAlign w:val="center"/>
          </w:tcPr>
          <w:p>
            <w:pPr>
              <w:spacing w:line="600" w:lineRule="exact"/>
              <w:jc w:val="center"/>
              <w:rPr>
                <w:rFonts w:hint="eastAsia" w:ascii="仿宋_GB2312" w:eastAsia="仿宋_GB2312"/>
                <w:color w:val="000000"/>
                <w:sz w:val="32"/>
                <w:szCs w:val="32"/>
              </w:rPr>
            </w:pPr>
            <w:r>
              <w:rPr>
                <w:rFonts w:hint="eastAsia" w:ascii="仿宋_GB2312" w:eastAsia="仿宋_GB2312"/>
                <w:color w:val="000000"/>
                <w:sz w:val="32"/>
                <w:szCs w:val="32"/>
              </w:rPr>
              <w:t>1</w:t>
            </w:r>
          </w:p>
        </w:tc>
        <w:tc>
          <w:tcPr>
            <w:tcW w:w="6945" w:type="dxa"/>
            <w:noWrap w:val="0"/>
            <w:vAlign w:val="center"/>
          </w:tcPr>
          <w:p>
            <w:pPr>
              <w:spacing w:line="600" w:lineRule="exact"/>
              <w:rPr>
                <w:rFonts w:hint="eastAsia" w:ascii="仿宋_GB2312" w:eastAsia="仿宋_GB2312"/>
                <w:color w:val="000000"/>
                <w:sz w:val="32"/>
                <w:szCs w:val="32"/>
              </w:rPr>
            </w:pPr>
            <w:r>
              <w:rPr>
                <w:rFonts w:ascii="仿宋_GB2312" w:hAnsi="仿宋_GB2312" w:eastAsia="仿宋_GB2312" w:cs="仿宋_GB2312"/>
                <w:color w:val="auto"/>
                <w:spacing w:val="0"/>
                <w:position w:val="0"/>
                <w:sz w:val="32"/>
                <w:shd w:val="clear" w:fill="auto"/>
              </w:rPr>
              <w:t>新疆巴音郭楞蒙古自治州和静县人民医院</w:t>
            </w:r>
          </w:p>
        </w:tc>
        <w:tc>
          <w:tcPr>
            <w:tcW w:w="1418" w:type="dxa"/>
            <w:noWrap w:val="0"/>
            <w:vAlign w:val="center"/>
          </w:tcPr>
          <w:p>
            <w:pPr>
              <w:spacing w:line="600" w:lineRule="exact"/>
              <w:ind w:firstLine="640" w:firstLineChars="200"/>
              <w:rPr>
                <w:rFonts w:hint="eastAsia" w:ascii="仿宋_GB2312" w:eastAsia="仿宋_GB2312"/>
                <w:color w:val="000000"/>
                <w:sz w:val="32"/>
                <w:szCs w:val="32"/>
              </w:rPr>
            </w:pPr>
          </w:p>
        </w:tc>
      </w:tr>
    </w:tbl>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6"/>
          <w:position w:val="0"/>
          <w:sz w:val="32"/>
          <w:shd w:val="clear" w:fill="auto"/>
        </w:rPr>
      </w:pPr>
    </w:p>
    <w:p>
      <w:pPr>
        <w:spacing w:before="0" w:after="0" w:line="600" w:lineRule="auto"/>
        <w:ind w:left="0" w:right="0" w:firstLine="643"/>
        <w:jc w:val="center"/>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第二部分  部门决算情况说明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一、部门收支总体情况</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（一）部门收入支出决算总体情况说明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2018年度收入18426万元</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与上年相比，增加2109万元，增长12.93%，增减变化的主要原因是：事业收入增加</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支出18426万元</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与上年相比，增加2109万元，增长12.93%，增减变化的主要原因是：事业收入增加</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结余0万元，与上年相比，增加0万元，增长0%。增减变化的主要原因是：我单位本年度无结余。</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（二）部门收入总体情况说明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本年收入合计18426万元，其中：财政拨款收入2998.8万元，占16.2%；上级补助收入0万元，占0%；事业收入15427.2万元，占83.8%；经营收入0万元，占0%；附属单位缴款0万元，占0%；其他收入0万元，占0%。</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与年初预算数相比情况</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本年收入年初预算数为3196万元，决算数为18426，预决算差异率为</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476.53%。差异主要原因：我单位属差额事业单位，事业收入未纳入年初部门预算。</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（三）部门支出总体情况说明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本年支出合计18426万元，其中：基本支出18426万元，占100%；项目支出0万元，占0%；上缴上级支出0万元，占0%；经营支出0万元，占0%；对附属单位补助支出0万元，占0%。</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与年初预算相比情况</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本年支出年初预算数为3196万元，决算数为18426万元，预决算差异率为</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476.53%，差异的主要原因：我单位属差额事业单位，事业支出未纳入年初部门预算。</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  部门财政拨款收支情况说明</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（一）财政拨款收支总体情况说明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财政拨款收入2998.8万元，与上年相比，减少981.2万元，降低24%。增减变化的主要原因是：人员减少，上级专项资金减少。财政拨款支出2998.8万元，与上年相比，减少981.2万元，降低24%。其中：基本支出2998.8万元，项目支出0万元。增减变化的主要原因是：人员减少，上级专项资金减少。财政拨款结转结余0万元，与上年相比，减少0万元，降低0%。增减变化的主要原因是：我单位本年度无财政拨款结转结余。</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与年初预算数情况相比：财政拨款收入年初预算数为3196万元，决算数为2998.8万元，预决算差异率</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6%，差异主要原因是：人员减少，上级专项资金减少。财政拨款支出年初预算数为3196万元，决算数为2998.8万元，预决算差异率</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6%，差异主要原因是人员减少，上级专项资金减少。</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（二）一般公共预算收支决算情况说明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一般公共预算财政拨款收入2998.8万元。与上年相比，减少981.2万元，降低24%。增减变化的主要原因是：人员减少，上级专项资金减少。一般公共预算财政拨款支出2998.8万元。与上年相比，减少981.2万元，降低24%。增减变化的主要原因是：人员减少，上级专项资金减少。其中：</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按功能分类科目（按类级科目公开），208（类）和会保障和就业支出306.2万元，210（类）医疗卫生与计划生育支出2547.8万元，221（类）住房保障支出144.8万元。</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按经济分类科目（按类级科目公开），301（类）工资福利支出2761.8万元，303（类）对个人和家庭的补助支出237万元。</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与年初预算数相比情况：一般公共预算财政拨款收入年初预算数为3196万元，决算数为2998.8万元，预决算差异率</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6%，差异主要原因是人员减少，上级专项资金减少。一般公共预算财政拨款支出年初预算数为3196万元，决算数为2998.8万元，预决算差异率</w:t>
      </w:r>
      <w:r>
        <w:rPr>
          <w:rFonts w:ascii="仿宋_GB2312" w:hAnsi="仿宋_GB2312" w:eastAsia="仿宋_GB2312" w:cs="仿宋_GB2312"/>
          <w:color w:val="auto"/>
          <w:spacing w:val="0"/>
          <w:position w:val="0"/>
          <w:sz w:val="32"/>
          <w:highlight w:val="none"/>
          <w:shd w:val="clear" w:fill="auto"/>
        </w:rPr>
        <w:t>-</w:t>
      </w:r>
      <w:r>
        <w:rPr>
          <w:rFonts w:ascii="仿宋_GB2312" w:hAnsi="仿宋_GB2312" w:eastAsia="仿宋_GB2312" w:cs="仿宋_GB2312"/>
          <w:color w:val="auto"/>
          <w:spacing w:val="0"/>
          <w:position w:val="0"/>
          <w:sz w:val="32"/>
          <w:shd w:val="clear" w:fill="auto"/>
        </w:rPr>
        <w:t>6%，差异主要原因是人员减少，上级专项资金减少。</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（三）政府性基金预算收支决算情况说明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政府性基金预算财政拨款收入0万元，与上年相比，减少0万元，降低0%。增减变化的主要原因是：我单位本年度无政府性基金预算财政拨款收入。政府性基金预算支出0万元。与上年相比，减少0万元，降低0%。增减变化的主要原因是：我单位本年度无政府性基金预算财政拨款支出。其中：按功能分类科目（按类级科目公开），支出0万元。按经济分类科目（按类级科目公开），支出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与年初预算数相比情况：政府性基金预算财政拨款收入年初预算数0万元，决算数0万元，预决算差异率0%，差异主要原因我单位本年度无政府性基金预算财政拨款收入。政府性基金预算财政拨款支出年初预算数0万元，决算数0万元，预决算差异率0%，差异主要原因我单位本年度无政府性基金预算财政拨款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三、部门结转结余情况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年末结转结余0万元。与上年相比，增加0万元，增长0%。其中财政拨款结转结余0万元。与上年相比，增加0万元，增长0%。</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四、一般公共预算“三公”经费支出情况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一般公共预算“三公”经费支出决算0万元，比上年减少0万元，降低0%，减少原因是按照中央八项规定，厉行节约，无财政拨款预算“三公”经费支出。其中，因公出国（境）费支出0万元，占0%，比上年减少0万元，降低0%，减少原因是我单位无因公出国（境）费支出；公务用车购置及运行维护费支出0万元，占0%，比上年减少0万元，降低0%，减少原因是我单位本年度无财政拨款公务用车购置及运行维护费支出；公务接待费支出0万元，占0%，比上年减少0万元，降低0%，减少原因是我单位本年度无公务接待费支出。具体情况如下：</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left"/>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因公出国（境）费支出0万元。和静县人民医院全年使用一般公共预算财政拨款安排的出国（境）团组0个，累计0人次。开支内容包括：无因公出国（境）费支出安排。</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公务用车购置及运行维护费0万元</w:t>
      </w:r>
      <w:r>
        <w:rPr>
          <w:rFonts w:hint="eastAsia" w:ascii="仿宋_GB2312" w:hAnsi="仿宋_GB2312" w:eastAsia="仿宋_GB2312" w:cs="仿宋_GB2312"/>
          <w:color w:val="auto"/>
          <w:spacing w:val="0"/>
          <w:position w:val="0"/>
          <w:sz w:val="32"/>
          <w:highlight w:val="none"/>
          <w:shd w:val="clear" w:fill="auto"/>
          <w:lang w:eastAsia="zh-CN"/>
        </w:rPr>
        <w:t>，</w:t>
      </w:r>
      <w:r>
        <w:rPr>
          <w:rFonts w:ascii="仿宋_GB2312" w:hAnsi="仿宋_GB2312" w:eastAsia="仿宋_GB2312" w:cs="仿宋_GB2312"/>
          <w:color w:val="auto"/>
          <w:spacing w:val="0"/>
          <w:position w:val="0"/>
          <w:sz w:val="32"/>
          <w:shd w:val="clear" w:fill="auto"/>
        </w:rPr>
        <w:t>其中，公务用车购置0万元，公务用车运行维护费0万元。主要用于车辆维护费、保险费、燃油费，未在财政拨款收支反映。单位一般公共财政拨款安排的公务用车购置量0辆，保有量为7辆。</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公务接待费0万元，具体是：国内公务接待支出0万元，主要是无公务接待费等，和静县人民医院国内公务接待0批次，0人次。</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Times New Roman" w:hAnsi="Times New Roman" w:eastAsia="Times New Roman" w:cs="Times New Roman"/>
          <w:color w:val="auto"/>
          <w:spacing w:val="0"/>
          <w:position w:val="0"/>
          <w:sz w:val="21"/>
          <w:shd w:val="clear" w:fill="auto"/>
        </w:rPr>
      </w:pPr>
      <w:r>
        <w:rPr>
          <w:rFonts w:ascii="仿宋_GB2312" w:hAnsi="仿宋_GB2312" w:eastAsia="仿宋_GB2312" w:cs="仿宋_GB2312"/>
          <w:color w:val="auto"/>
          <w:spacing w:val="0"/>
          <w:position w:val="0"/>
          <w:sz w:val="32"/>
          <w:shd w:val="clear" w:fill="auto"/>
        </w:rPr>
        <w:t>与年初预算数相比情况：一般公共预算“三公”经费支出年初预算数0万元，决算数0万元，预决算差异率0%，差异主要原因我单位本年度无财政拨款“三公”经费支出。其中：因公出国（境）费支出0万元，决算数0万元，预决算差异率0%，差异主要原因无因公出国（境）费支出；公务用车购置预算数0万元，决算数0万元，预决算差异率0%，差异主要原因无公务用车购置；公务用车运行费预算数0万元，决算数0万元，预决算差异率0%，差异主要原因我单位本年度无财政拨款公务用车运行费；公务接待费预算数0万元，决算数0万元，预决算差异率0%，差异主要原因我单位本年度无公务接待费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五、机关运行经费支出情况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2018年度和静县人民医院（事业单位）日常公用经费支出0万元，比上年增加0万元，增长0%，主要原因：我单位无财政拨款机关运行经费支出。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六、政府采购情况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2018年度政府采购支出总额0万元，其中：政府采购货物支出0万元、政府采购工程支出0万元、政府采购服务支出0万元。</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七、其他重要事项的情况</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（一）国有资产占用情况说明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截至2018年12月31日，单位共有车辆7辆，价值162.9万元，其中：副部（省）级及以上领导用车0辆、主要领导干部用车1辆、机要通信用车0辆、应急保障用车0辆、执法执勤用车0辆、特种专业技术用车0辆、离退休干部用车0辆、其他用车6辆，其他用车主要是：医疗业务运输车、救护车；单位价值50万元以上通用设备15台（套）、单位价值100万元以上专用设备30台（套）。</w:t>
      </w:r>
    </w:p>
    <w:p>
      <w:pPr>
        <w:spacing w:line="600" w:lineRule="exact"/>
        <w:ind w:firstLine="643" w:firstLineChars="200"/>
        <w:rPr>
          <w:rFonts w:hint="eastAsia" w:ascii="楷体_GB2312" w:hAnsi="Times New Roman" w:eastAsia="楷体_GB2312" w:cs="Times New Roman"/>
          <w:b/>
          <w:bCs/>
          <w:color w:val="000000"/>
          <w:kern w:val="2"/>
          <w:sz w:val="32"/>
          <w:szCs w:val="32"/>
          <w:lang w:val="en-US" w:eastAsia="zh-CN" w:bidi="ar-SA"/>
        </w:rPr>
      </w:pPr>
      <w:r>
        <w:rPr>
          <w:rFonts w:hint="eastAsia" w:ascii="楷体_GB2312" w:hAnsi="Times New Roman" w:eastAsia="楷体_GB2312" w:cs="Times New Roman"/>
          <w:b/>
          <w:bCs/>
          <w:color w:val="000000"/>
          <w:kern w:val="2"/>
          <w:sz w:val="32"/>
          <w:szCs w:val="32"/>
          <w:lang w:val="en-US" w:eastAsia="zh-CN" w:bidi="ar-SA"/>
        </w:rPr>
        <w:t>（二）预算绩效情况的说明</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2018年度，本部门单位预算绩效自评情况：和静县人民医院无项目支出，无项目绩效。</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center"/>
        <w:textAlignment w:val="auto"/>
        <w:rPr>
          <w:rFonts w:ascii="仿宋_GB2312" w:hAnsi="仿宋_GB2312" w:eastAsia="仿宋_GB2312" w:cs="仿宋_GB2312"/>
          <w:color w:val="auto"/>
          <w:spacing w:val="0"/>
          <w:position w:val="0"/>
          <w:sz w:val="32"/>
          <w:shd w:val="clear" w:fill="auto"/>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jc w:val="center"/>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第三部分 专业名词解释</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财政拨款收入：指同级财政当年拨付的资金。</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上级补助收入：指事业单位从主管部门和上级单位取得的非财政补助收入。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事业收入：指事业单位开展专业业务活动及其辅助活动所取得的收入。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附属单位上缴收入：指事业单位附属的独立核算单位按有关规定上缴的收入。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结余分配：反映单位当年结余的分配情况。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对附属单位补助支出：指事业单位发生的用非财政预算资金对附属单位的补助支出。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本单位支出功能分类说明。208（类）社会保障和就业支出05（款）行政事业单位离退休</w:t>
      </w:r>
      <w:r>
        <w:rPr>
          <w:rFonts w:ascii="宋体" w:hAnsi="宋体" w:eastAsia="宋体" w:cs="宋体"/>
          <w:color w:val="auto"/>
          <w:spacing w:val="0"/>
          <w:position w:val="0"/>
          <w:sz w:val="22"/>
          <w:shd w:val="clear" w:fill="auto"/>
        </w:rPr>
        <w:t xml:space="preserve"> </w:t>
      </w:r>
      <w:r>
        <w:rPr>
          <w:rFonts w:ascii="仿宋_GB2312" w:hAnsi="仿宋_GB2312" w:eastAsia="仿宋_GB2312" w:cs="仿宋_GB2312"/>
          <w:color w:val="auto"/>
          <w:spacing w:val="0"/>
          <w:position w:val="0"/>
          <w:sz w:val="32"/>
          <w:shd w:val="clear" w:fill="auto"/>
        </w:rPr>
        <w:t>02（项）事业单位离退休，210（类）医疗卫生与计划生育支出02（款）公立医院01（项）综合医院，221（类）住房保障支出02（款）住房改革支出01（项）住房公积金。</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jc w:val="both"/>
        <w:textAlignment w:val="auto"/>
        <w:rPr>
          <w:rFonts w:ascii="仿宋_GB2312" w:hAnsi="仿宋_GB2312" w:eastAsia="仿宋_GB2312" w:cs="仿宋_GB2312"/>
          <w:color w:val="auto"/>
          <w:spacing w:val="0"/>
          <w:position w:val="0"/>
          <w:sz w:val="32"/>
          <w:shd w:val="clear" w:fill="auto"/>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3"/>
        <w:jc w:val="center"/>
        <w:textAlignment w:val="auto"/>
        <w:rPr>
          <w:rFonts w:ascii="黑体" w:hAnsi="黑体" w:eastAsia="黑体" w:cs="黑体"/>
          <w:b/>
          <w:color w:val="auto"/>
          <w:spacing w:val="0"/>
          <w:position w:val="0"/>
          <w:sz w:val="32"/>
          <w:shd w:val="clear" w:fill="auto"/>
        </w:rPr>
      </w:pPr>
      <w:r>
        <w:rPr>
          <w:rFonts w:ascii="黑体" w:hAnsi="黑体" w:eastAsia="黑体" w:cs="黑体"/>
          <w:b/>
          <w:color w:val="auto"/>
          <w:spacing w:val="0"/>
          <w:position w:val="0"/>
          <w:sz w:val="32"/>
          <w:shd w:val="clear" w:fill="auto"/>
        </w:rPr>
        <w:t>第四部分 部门决算公开的8张报表（见附表）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一、《收入支出决算总表》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二、《收入决算表》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三、《支出决算表》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四、《财政拨款收入支出决算总表》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五、《一般公共预算财政拨款支出决算表》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六、《一般公共预算财政拨款基本支出决算表》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七、《一般公共预算财政拨款“三公”经费支出决算表》</w:t>
      </w:r>
    </w:p>
    <w:p>
      <w:pPr>
        <w:keepNext w:val="0"/>
        <w:keepLines w:val="0"/>
        <w:pageBreakBefore w:val="0"/>
        <w:widowControl/>
        <w:kinsoku/>
        <w:wordWrap/>
        <w:overflowPunct/>
        <w:topLinePunct w:val="0"/>
        <w:autoSpaceDE/>
        <w:autoSpaceDN/>
        <w:bidi w:val="0"/>
        <w:adjustRightInd w:val="0"/>
        <w:snapToGrid w:val="0"/>
        <w:spacing w:after="0" w:line="600" w:lineRule="exact"/>
        <w:ind w:firstLine="656" w:firstLineChars="200"/>
        <w:jc w:val="left"/>
        <w:textAlignment w:val="auto"/>
        <w:rPr>
          <w:rFonts w:ascii="仿宋_GB2312" w:hAnsi="Times New Roman" w:eastAsia="仿宋_GB2312" w:cs="Times New Roman"/>
          <w:spacing w:val="4"/>
          <w:sz w:val="32"/>
          <w:szCs w:val="32"/>
          <w:lang w:val="en-US" w:eastAsia="zh-CN" w:bidi="ar-SA"/>
        </w:rPr>
      </w:pPr>
      <w:r>
        <w:rPr>
          <w:rFonts w:hint="eastAsia" w:ascii="仿宋_GB2312" w:hAnsi="Times New Roman" w:eastAsia="仿宋_GB2312" w:cs="Times New Roman"/>
          <w:spacing w:val="4"/>
          <w:sz w:val="32"/>
          <w:szCs w:val="32"/>
          <w:lang w:val="en-US" w:eastAsia="zh-CN" w:bidi="ar-SA"/>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640" w:firstLine="640"/>
        <w:jc w:val="right"/>
        <w:textAlignment w:val="auto"/>
        <w:rPr>
          <w:rFonts w:ascii="仿宋_GB2312" w:hAnsi="仿宋_GB2312" w:eastAsia="仿宋_GB2312" w:cs="仿宋_GB2312"/>
          <w:color w:val="auto"/>
          <w:spacing w:val="0"/>
          <w:position w:val="0"/>
          <w:sz w:val="32"/>
          <w:shd w:val="clear" w:fill="auto"/>
        </w:rPr>
      </w:pP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compat>
    <w:useFELayout/>
    <w:splitPgBreakAndParaMark/>
    <w:compatSetting w:name="compatibilityMode" w:uri="http://schemas.microsoft.com/office/word" w:val="12"/>
  </w:compat>
  <w:rsids>
    <w:rsidRoot w:val="00000000"/>
    <w:rsid w:val="05D55B8F"/>
    <w:rsid w:val="0FFD69CB"/>
    <w:rsid w:val="42950F46"/>
    <w:rsid w:val="5FF001BD"/>
    <w:rsid w:val="6B9811CA"/>
    <w:rsid w:val="6DE85E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2021-06-02T07:42:00Z</dcterms:created>
  <dc:creator>Administrator</dc:creator>
  <cp:lastModifiedBy>Administrator</cp:lastModifiedBy>
  <dcterms:modified xsi:type="dcterms:W3CDTF">2023-08-15T05:04:02Z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