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附1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252"/>
        <w:gridCol w:w="882"/>
        <w:gridCol w:w="851"/>
        <w:gridCol w:w="283"/>
        <w:gridCol w:w="252"/>
        <w:gridCol w:w="567"/>
        <w:gridCol w:w="741"/>
        <w:gridCol w:w="708"/>
      </w:tblGrid>
      <w:tr>
        <w:tblPrEx>
          <w:tblCellMar>
            <w:top w:w="0" w:type="dxa"/>
            <w:left w:w="108" w:type="dxa"/>
            <w:bottom w:w="0" w:type="dxa"/>
            <w:right w:w="108" w:type="dxa"/>
          </w:tblCellMar>
        </w:tblPrEx>
        <w:trPr>
          <w:trHeight w:val="454" w:hRule="exact"/>
          <w:jc w:val="center"/>
        </w:trPr>
        <w:tc>
          <w:tcPr>
            <w:tcW w:w="9080" w:type="dxa"/>
            <w:gridSpan w:val="13"/>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lang w:val="en-US" w:eastAsia="zh-CN"/>
              </w:rPr>
              <w:t>新疆巴州和静县文化体育电视和旅游局</w:t>
            </w: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3"/>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（2019年度）</w:t>
            </w:r>
          </w:p>
        </w:tc>
      </w:tr>
      <w:tr>
        <w:tblPrEx>
          <w:tblCellMar>
            <w:top w:w="0" w:type="dxa"/>
            <w:left w:w="108" w:type="dxa"/>
            <w:bottom w:w="0" w:type="dxa"/>
            <w:right w:w="108" w:type="dxa"/>
          </w:tblCellMar>
        </w:tblPrEx>
        <w:trPr>
          <w:trHeight w:val="694"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编制巴音布鲁克景区8个节点服务设施建设项目对巴音布鲁克国家级自然保护区生物多样性影响评价报告</w:t>
            </w:r>
          </w:p>
        </w:tc>
      </w:tr>
      <w:tr>
        <w:tblPrEx>
          <w:tblCellMar>
            <w:top w:w="0" w:type="dxa"/>
            <w:left w:w="108" w:type="dxa"/>
            <w:bottom w:w="0" w:type="dxa"/>
            <w:right w:w="108" w:type="dxa"/>
          </w:tblCellMar>
        </w:tblPrEx>
        <w:trPr>
          <w:trHeight w:val="543"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0" w:name="_GoBack"/>
            <w:bookmarkEnd w:id="0"/>
            <w:r>
              <w:rPr>
                <w:rFonts w:hint="eastAsia" w:ascii="宋体" w:hAnsi="宋体" w:eastAsia="宋体" w:cs="宋体"/>
                <w:kern w:val="0"/>
                <w:sz w:val="18"/>
                <w:szCs w:val="18"/>
                <w:lang w:val="en-US" w:eastAsia="zh-CN"/>
              </w:rPr>
              <w:t>和静县文化体育电视和旅游局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和静县巴音布鲁克景区管委会</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7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tcPr>
          <w:p>
            <w:r>
              <w:rPr>
                <w:rFonts w:hint="eastAsia" w:ascii="宋体" w:hAnsi="宋体" w:eastAsia="宋体" w:cs="宋体"/>
                <w:kern w:val="0"/>
                <w:sz w:val="18"/>
                <w:szCs w:val="18"/>
              </w:rPr>
              <w:t>40</w:t>
            </w:r>
          </w:p>
        </w:tc>
        <w:tc>
          <w:tcPr>
            <w:tcW w:w="1134" w:type="dxa"/>
            <w:gridSpan w:val="2"/>
            <w:tcBorders>
              <w:top w:val="nil"/>
              <w:left w:val="nil"/>
              <w:bottom w:val="single" w:color="auto" w:sz="4" w:space="0"/>
              <w:right w:val="single" w:color="auto" w:sz="4" w:space="0"/>
            </w:tcBorders>
          </w:tcPr>
          <w:p>
            <w:r>
              <w:rPr>
                <w:rFonts w:hint="eastAsia" w:ascii="宋体" w:hAnsi="宋体" w:eastAsia="宋体" w:cs="宋体"/>
                <w:kern w:val="0"/>
                <w:sz w:val="18"/>
                <w:szCs w:val="18"/>
              </w:rPr>
              <w:t>40</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7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tcPr>
          <w:p>
            <w:r>
              <w:rPr>
                <w:rFonts w:hint="eastAsia" w:ascii="宋体" w:hAnsi="宋体" w:eastAsia="宋体" w:cs="宋体"/>
                <w:kern w:val="0"/>
                <w:sz w:val="18"/>
                <w:szCs w:val="18"/>
              </w:rPr>
              <w:t>40</w:t>
            </w:r>
          </w:p>
        </w:tc>
        <w:tc>
          <w:tcPr>
            <w:tcW w:w="1134" w:type="dxa"/>
            <w:gridSpan w:val="2"/>
            <w:tcBorders>
              <w:top w:val="nil"/>
              <w:left w:val="nil"/>
              <w:bottom w:val="single" w:color="auto" w:sz="4" w:space="0"/>
              <w:right w:val="single" w:color="auto" w:sz="4" w:space="0"/>
            </w:tcBorders>
          </w:tcPr>
          <w:p>
            <w:r>
              <w:rPr>
                <w:rFonts w:hint="eastAsia" w:ascii="宋体" w:hAnsi="宋体" w:eastAsia="宋体" w:cs="宋体"/>
                <w:kern w:val="0"/>
                <w:sz w:val="18"/>
                <w:szCs w:val="18"/>
              </w:rPr>
              <w:t>40</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7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4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015"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 xml:space="preserve">目标1：贯彻落实上级关于生态保护的各项决策部署、整改中央环保督查问题；                             </w:t>
            </w:r>
          </w:p>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目标2：优化自然保护区内景区旅游基础设施建设和管理 。</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已全部完成</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75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16" w:type="dxa"/>
            <w:gridSpan w:val="3"/>
            <w:tcBorders>
              <w:top w:val="single" w:color="auto" w:sz="4" w:space="0"/>
              <w:left w:val="nil"/>
              <w:bottom w:val="single" w:color="auto" w:sz="4" w:space="0"/>
              <w:right w:val="single" w:color="auto" w:sz="4" w:space="0"/>
            </w:tcBorders>
            <w:vAlign w:val="center"/>
          </w:tcPr>
          <w:p>
            <w:pPr>
              <w:spacing w:line="240" w:lineRule="exact"/>
              <w:rPr>
                <w:rFonts w:cs="宋体" w:asciiTheme="minorEastAsia" w:hAnsiTheme="minorEastAsia" w:eastAsiaTheme="minorEastAsia"/>
                <w:sz w:val="15"/>
                <w:szCs w:val="15"/>
              </w:rPr>
            </w:pPr>
            <w:r>
              <w:rPr>
                <w:rFonts w:hint="eastAsia" w:asciiTheme="minorEastAsia" w:hAnsiTheme="minorEastAsia" w:eastAsiaTheme="minorEastAsia"/>
                <w:sz w:val="15"/>
                <w:szCs w:val="15"/>
              </w:rPr>
              <w:t>自然保护区生物多样化性影响评价报告数量</w:t>
            </w:r>
          </w:p>
        </w:tc>
        <w:tc>
          <w:tcPr>
            <w:tcW w:w="882"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8个</w:t>
            </w:r>
          </w:p>
        </w:tc>
        <w:tc>
          <w:tcPr>
            <w:tcW w:w="851"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8个</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无</w:t>
            </w:r>
          </w:p>
        </w:tc>
      </w:tr>
      <w:tr>
        <w:tblPrEx>
          <w:tblCellMar>
            <w:top w:w="0" w:type="dxa"/>
            <w:left w:w="108" w:type="dxa"/>
            <w:bottom w:w="0" w:type="dxa"/>
            <w:right w:w="108" w:type="dxa"/>
          </w:tblCellMar>
        </w:tblPrEx>
        <w:trPr>
          <w:trHeight w:val="71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16" w:type="dxa"/>
            <w:gridSpan w:val="3"/>
            <w:tcBorders>
              <w:top w:val="single" w:color="auto" w:sz="4" w:space="0"/>
              <w:left w:val="nil"/>
              <w:bottom w:val="single" w:color="auto" w:sz="4" w:space="0"/>
              <w:right w:val="single" w:color="auto" w:sz="4" w:space="0"/>
            </w:tcBorders>
            <w:vAlign w:val="center"/>
          </w:tcPr>
          <w:p>
            <w:pPr>
              <w:spacing w:line="240" w:lineRule="exact"/>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自然保护区生物多样化性影响评价报告合格率</w:t>
            </w:r>
          </w:p>
        </w:tc>
        <w:tc>
          <w:tcPr>
            <w:tcW w:w="882"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≥100%</w:t>
            </w:r>
          </w:p>
        </w:tc>
        <w:tc>
          <w:tcPr>
            <w:tcW w:w="851"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100%</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right w:val="single" w:color="auto" w:sz="4" w:space="0"/>
            </w:tcBorders>
            <w:vAlign w:val="center"/>
          </w:tcPr>
          <w:p>
            <w:pPr>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16" w:type="dxa"/>
            <w:gridSpan w:val="3"/>
            <w:tcBorders>
              <w:top w:val="single" w:color="auto" w:sz="4" w:space="0"/>
              <w:left w:val="nil"/>
              <w:bottom w:val="single" w:color="auto" w:sz="4" w:space="0"/>
              <w:right w:val="single" w:color="auto" w:sz="4" w:space="0"/>
            </w:tcBorders>
            <w:vAlign w:val="center"/>
          </w:tcPr>
          <w:p>
            <w:pPr>
              <w:spacing w:line="240" w:lineRule="exact"/>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自然保护区生物多样化性影响评价报告拨款及时率</w:t>
            </w:r>
          </w:p>
        </w:tc>
        <w:tc>
          <w:tcPr>
            <w:tcW w:w="882"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≥100%</w:t>
            </w:r>
          </w:p>
        </w:tc>
        <w:tc>
          <w:tcPr>
            <w:tcW w:w="851"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100%</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71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spacing w:line="240" w:lineRule="exact"/>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自然保护区生物多样化性影响评价报告完工时间</w:t>
            </w:r>
          </w:p>
        </w:tc>
        <w:tc>
          <w:tcPr>
            <w:tcW w:w="882"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2个月</w:t>
            </w:r>
          </w:p>
        </w:tc>
        <w:tc>
          <w:tcPr>
            <w:tcW w:w="851"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100%</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7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16" w:type="dxa"/>
            <w:gridSpan w:val="3"/>
            <w:tcBorders>
              <w:top w:val="single" w:color="auto" w:sz="4" w:space="0"/>
              <w:left w:val="nil"/>
              <w:bottom w:val="single" w:color="auto" w:sz="4" w:space="0"/>
              <w:right w:val="single" w:color="auto" w:sz="4" w:space="0"/>
            </w:tcBorders>
            <w:vAlign w:val="center"/>
          </w:tcPr>
          <w:p>
            <w:pPr>
              <w:spacing w:line="240" w:lineRule="exact"/>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自然保护区生物多样化性影响评价报告成本</w:t>
            </w:r>
          </w:p>
        </w:tc>
        <w:tc>
          <w:tcPr>
            <w:tcW w:w="882"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≤40万</w:t>
            </w:r>
          </w:p>
        </w:tc>
        <w:tc>
          <w:tcPr>
            <w:tcW w:w="851"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40万</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53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6" w:type="dxa"/>
            <w:gridSpan w:val="3"/>
            <w:tcBorders>
              <w:top w:val="single" w:color="auto" w:sz="4" w:space="0"/>
              <w:left w:val="nil"/>
              <w:bottom w:val="single" w:color="auto" w:sz="4" w:space="0"/>
              <w:right w:val="single" w:color="auto" w:sz="4" w:space="0"/>
            </w:tcBorders>
            <w:vAlign w:val="center"/>
          </w:tcPr>
          <w:p>
            <w:pPr>
              <w:spacing w:line="240" w:lineRule="exact"/>
              <w:rPr>
                <w:rFonts w:cs="宋体" w:asciiTheme="minorEastAsia" w:hAnsiTheme="minorEastAsia" w:eastAsiaTheme="minorEastAsia"/>
                <w:color w:val="000000"/>
                <w:sz w:val="15"/>
                <w:szCs w:val="15"/>
              </w:rPr>
            </w:pPr>
            <w:r>
              <w:rPr>
                <w:rFonts w:asciiTheme="minorEastAsia" w:hAnsiTheme="minorEastAsia" w:eastAsiaTheme="minorEastAsia"/>
                <w:color w:val="000000"/>
                <w:sz w:val="15"/>
                <w:szCs w:val="15"/>
              </w:rPr>
              <w:t>牧民增收、企业</w:t>
            </w:r>
            <w:r>
              <w:rPr>
                <w:rFonts w:hint="eastAsia" w:asciiTheme="minorEastAsia" w:hAnsiTheme="minorEastAsia" w:eastAsiaTheme="minorEastAsia"/>
                <w:color w:val="000000"/>
                <w:sz w:val="15"/>
                <w:szCs w:val="15"/>
              </w:rPr>
              <w:t>同比</w:t>
            </w:r>
            <w:r>
              <w:rPr>
                <w:rFonts w:asciiTheme="minorEastAsia" w:hAnsiTheme="minorEastAsia" w:eastAsiaTheme="minorEastAsia"/>
                <w:color w:val="000000"/>
                <w:sz w:val="15"/>
                <w:szCs w:val="15"/>
              </w:rPr>
              <w:t>增效效果</w:t>
            </w:r>
          </w:p>
        </w:tc>
        <w:tc>
          <w:tcPr>
            <w:tcW w:w="882" w:type="dxa"/>
            <w:tcBorders>
              <w:top w:val="nil"/>
              <w:left w:val="nil"/>
              <w:bottom w:val="single" w:color="auto" w:sz="4" w:space="0"/>
              <w:right w:val="single" w:color="auto" w:sz="4" w:space="0"/>
            </w:tcBorders>
            <w:vAlign w:val="center"/>
          </w:tcPr>
          <w:p>
            <w:pP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w:t>
            </w:r>
            <w:r>
              <w:rPr>
                <w:rFonts w:hint="eastAsia" w:cs="宋体" w:asciiTheme="minorEastAsia" w:hAnsiTheme="minorEastAsia" w:eastAsiaTheme="minorEastAsia"/>
                <w:color w:val="000000"/>
                <w:sz w:val="15"/>
                <w:szCs w:val="15"/>
              </w:rPr>
              <w:t>30%</w:t>
            </w:r>
          </w:p>
        </w:tc>
        <w:tc>
          <w:tcPr>
            <w:tcW w:w="851" w:type="dxa"/>
            <w:tcBorders>
              <w:top w:val="nil"/>
              <w:left w:val="nil"/>
              <w:bottom w:val="single" w:color="auto" w:sz="4" w:space="0"/>
              <w:right w:val="single" w:color="auto" w:sz="4" w:space="0"/>
            </w:tcBorders>
            <w:vAlign w:val="center"/>
          </w:tcPr>
          <w:p>
            <w:pPr>
              <w:rPr>
                <w:rFonts w:cs="宋体" w:asciiTheme="minorEastAsia" w:hAnsiTheme="minorEastAsia" w:eastAsiaTheme="minorEastAsia"/>
                <w:color w:val="000000"/>
                <w:sz w:val="15"/>
                <w:szCs w:val="15"/>
              </w:rPr>
            </w:pPr>
            <w:r>
              <w:rPr>
                <w:rFonts w:hint="eastAsia" w:cs="宋体" w:asciiTheme="minorEastAsia" w:hAnsiTheme="minorEastAsia" w:eastAsiaTheme="minorEastAsia"/>
                <w:color w:val="000000"/>
                <w:sz w:val="15"/>
                <w:szCs w:val="15"/>
              </w:rPr>
              <w:t>30%</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15</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15</w:t>
            </w:r>
          </w:p>
        </w:tc>
        <w:tc>
          <w:tcPr>
            <w:tcW w:w="14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5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6" w:type="dxa"/>
            <w:gridSpan w:val="3"/>
            <w:tcBorders>
              <w:top w:val="single" w:color="auto" w:sz="4" w:space="0"/>
              <w:left w:val="nil"/>
              <w:bottom w:val="single" w:color="auto" w:sz="4" w:space="0"/>
              <w:right w:val="single" w:color="auto" w:sz="4" w:space="0"/>
            </w:tcBorders>
            <w:vAlign w:val="center"/>
          </w:tcPr>
          <w:p>
            <w:pPr>
              <w:spacing w:line="240" w:lineRule="exact"/>
              <w:rPr>
                <w:rFonts w:cs="宋体" w:asciiTheme="minorEastAsia" w:hAnsiTheme="minorEastAsia" w:eastAsiaTheme="minorEastAsia"/>
                <w:color w:val="000000"/>
                <w:sz w:val="15"/>
                <w:szCs w:val="15"/>
              </w:rPr>
            </w:pPr>
            <w:r>
              <w:rPr>
                <w:rFonts w:asciiTheme="minorEastAsia" w:hAnsiTheme="minorEastAsia" w:eastAsiaTheme="minorEastAsia"/>
                <w:color w:val="000000"/>
                <w:sz w:val="15"/>
                <w:szCs w:val="15"/>
              </w:rPr>
              <w:t>自然保护区生物多样化性保护程度</w:t>
            </w:r>
          </w:p>
        </w:tc>
        <w:tc>
          <w:tcPr>
            <w:tcW w:w="882" w:type="dxa"/>
            <w:tcBorders>
              <w:top w:val="nil"/>
              <w:left w:val="nil"/>
              <w:bottom w:val="single" w:color="auto" w:sz="4" w:space="0"/>
              <w:right w:val="single" w:color="auto" w:sz="4" w:space="0"/>
            </w:tcBorders>
            <w:vAlign w:val="center"/>
          </w:tcPr>
          <w:p>
            <w:pP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≥98%</w:t>
            </w:r>
          </w:p>
        </w:tc>
        <w:tc>
          <w:tcPr>
            <w:tcW w:w="851"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cs="宋体" w:asciiTheme="minorEastAsia" w:hAnsiTheme="minorEastAsia" w:eastAsiaTheme="minorEastAsia"/>
                <w:color w:val="000000"/>
                <w:sz w:val="15"/>
                <w:szCs w:val="15"/>
              </w:rPr>
              <w:t>98%</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15</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15</w:t>
            </w:r>
          </w:p>
        </w:tc>
        <w:tc>
          <w:tcPr>
            <w:tcW w:w="14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70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6" w:type="dxa"/>
            <w:gridSpan w:val="3"/>
            <w:tcBorders>
              <w:top w:val="single" w:color="auto" w:sz="4" w:space="0"/>
              <w:left w:val="nil"/>
              <w:bottom w:val="single" w:color="auto" w:sz="4" w:space="0"/>
              <w:right w:val="single" w:color="auto" w:sz="4" w:space="0"/>
            </w:tcBorders>
            <w:vAlign w:val="center"/>
          </w:tcPr>
          <w:p>
            <w:pPr>
              <w:spacing w:line="240" w:lineRule="exact"/>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服务对象满意度</w:t>
            </w:r>
          </w:p>
        </w:tc>
        <w:tc>
          <w:tcPr>
            <w:tcW w:w="882"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≥98%</w:t>
            </w:r>
          </w:p>
        </w:tc>
        <w:tc>
          <w:tcPr>
            <w:tcW w:w="851" w:type="dxa"/>
            <w:tcBorders>
              <w:top w:val="nil"/>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5"/>
                <w:szCs w:val="15"/>
              </w:rPr>
            </w:pPr>
            <w:r>
              <w:rPr>
                <w:rFonts w:hint="eastAsia" w:asciiTheme="minorEastAsia" w:hAnsiTheme="minorEastAsia" w:eastAsiaTheme="minorEastAsia"/>
                <w:color w:val="000000"/>
                <w:sz w:val="15"/>
                <w:szCs w:val="15"/>
              </w:rPr>
              <w:t>100%</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49"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540" w:firstLineChars="300"/>
              <w:rPr>
                <w:rFonts w:ascii="宋体" w:hAnsi="宋体" w:eastAsia="宋体" w:cs="宋体"/>
                <w:kern w:val="0"/>
                <w:sz w:val="18"/>
                <w:szCs w:val="18"/>
              </w:rPr>
            </w:pPr>
            <w:r>
              <w:rPr>
                <w:rFonts w:hint="eastAsia" w:ascii="宋体" w:hAnsi="宋体" w:eastAsia="宋体" w:cs="宋体"/>
                <w:kern w:val="0"/>
                <w:sz w:val="18"/>
                <w:szCs w:val="18"/>
              </w:rPr>
              <w:t>无</w:t>
            </w:r>
          </w:p>
        </w:tc>
      </w:tr>
      <w:tr>
        <w:tblPrEx>
          <w:tblCellMar>
            <w:top w:w="0" w:type="dxa"/>
            <w:left w:w="108" w:type="dxa"/>
            <w:bottom w:w="0" w:type="dxa"/>
            <w:right w:w="108" w:type="dxa"/>
          </w:tblCellMar>
        </w:tblPrEx>
        <w:trPr>
          <w:trHeight w:val="833"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1449"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540" w:firstLineChars="300"/>
              <w:rPr>
                <w:rFonts w:ascii="宋体" w:hAnsi="宋体" w:eastAsia="宋体" w:cs="宋体"/>
                <w:kern w:val="0"/>
                <w:sz w:val="18"/>
                <w:szCs w:val="18"/>
              </w:rPr>
            </w:pPr>
            <w:r>
              <w:rPr>
                <w:rFonts w:hint="eastAsia" w:ascii="宋体" w:hAnsi="宋体" w:eastAsia="宋体" w:cs="宋体"/>
                <w:kern w:val="0"/>
                <w:sz w:val="18"/>
                <w:szCs w:val="18"/>
              </w:rPr>
              <w:t>无</w:t>
            </w: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rPr>
          <w:rFonts w:ascii="仿宋_GB2312"/>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8788B"/>
    <w:rsid w:val="00096099"/>
    <w:rsid w:val="000B4E42"/>
    <w:rsid w:val="000C310F"/>
    <w:rsid w:val="000C6071"/>
    <w:rsid w:val="001232C2"/>
    <w:rsid w:val="00187109"/>
    <w:rsid w:val="001E13F6"/>
    <w:rsid w:val="00202BBF"/>
    <w:rsid w:val="00264F3F"/>
    <w:rsid w:val="002C3BC8"/>
    <w:rsid w:val="003127E0"/>
    <w:rsid w:val="00323FF0"/>
    <w:rsid w:val="003352D4"/>
    <w:rsid w:val="0035734F"/>
    <w:rsid w:val="003836A6"/>
    <w:rsid w:val="0043448B"/>
    <w:rsid w:val="004808B0"/>
    <w:rsid w:val="004B1460"/>
    <w:rsid w:val="004C08A8"/>
    <w:rsid w:val="00535AC9"/>
    <w:rsid w:val="006B2280"/>
    <w:rsid w:val="00717227"/>
    <w:rsid w:val="007539F4"/>
    <w:rsid w:val="008436A6"/>
    <w:rsid w:val="0085084F"/>
    <w:rsid w:val="008A25C1"/>
    <w:rsid w:val="008A73B0"/>
    <w:rsid w:val="0092262A"/>
    <w:rsid w:val="009304C5"/>
    <w:rsid w:val="0099117B"/>
    <w:rsid w:val="00993EB7"/>
    <w:rsid w:val="00995507"/>
    <w:rsid w:val="00996F90"/>
    <w:rsid w:val="00A10869"/>
    <w:rsid w:val="00A375DA"/>
    <w:rsid w:val="00A44696"/>
    <w:rsid w:val="00A5430D"/>
    <w:rsid w:val="00AD2C52"/>
    <w:rsid w:val="00AF2B88"/>
    <w:rsid w:val="00B6585E"/>
    <w:rsid w:val="00B83C91"/>
    <w:rsid w:val="00BC7197"/>
    <w:rsid w:val="00BE0B40"/>
    <w:rsid w:val="00BE139A"/>
    <w:rsid w:val="00C01398"/>
    <w:rsid w:val="00C603DA"/>
    <w:rsid w:val="00C6591E"/>
    <w:rsid w:val="00C95575"/>
    <w:rsid w:val="00CA07D3"/>
    <w:rsid w:val="00D52BA6"/>
    <w:rsid w:val="00DB611C"/>
    <w:rsid w:val="00E3118B"/>
    <w:rsid w:val="00E46B3F"/>
    <w:rsid w:val="00E6680E"/>
    <w:rsid w:val="00F10C7B"/>
    <w:rsid w:val="00F144F4"/>
    <w:rsid w:val="00F61484"/>
    <w:rsid w:val="00F658C4"/>
    <w:rsid w:val="00F85F8F"/>
    <w:rsid w:val="00F93704"/>
    <w:rsid w:val="00FF75C6"/>
    <w:rsid w:val="498F1C65"/>
    <w:rsid w:val="51761CEB"/>
    <w:rsid w:val="7DEA6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basedOn w:val="1"/>
    <w:next w:val="1"/>
    <w:link w:val="9"/>
    <w:qFormat/>
    <w:uiPriority w:val="0"/>
    <w:pPr>
      <w:keepNext/>
      <w:keepLines/>
      <w:spacing w:before="260" w:after="260" w:line="416" w:lineRule="auto"/>
      <w:outlineLvl w:val="2"/>
    </w:pPr>
    <w:rPr>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标题 3 Char"/>
    <w:basedOn w:val="6"/>
    <w:link w:val="2"/>
    <w:qFormat/>
    <w:uiPriority w:val="0"/>
    <w:rPr>
      <w:rFonts w:ascii="Times New Roman" w:hAnsi="Times New Roman" w:eastAsia="仿宋_GB2312"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7E46DA-F8AA-4CA5-B151-57EC14ABAC44}">
  <ds:schemaRefs/>
</ds:datastoreItem>
</file>

<file path=docProps/app.xml><?xml version="1.0" encoding="utf-8"?>
<Properties xmlns="http://schemas.openxmlformats.org/officeDocument/2006/extended-properties" xmlns:vt="http://schemas.openxmlformats.org/officeDocument/2006/docPropsVTypes">
  <Template>Normal</Template>
  <Pages>2</Pages>
  <Words>122</Words>
  <Characters>696</Characters>
  <Lines>5</Lines>
  <Paragraphs>1</Paragraphs>
  <TotalTime>0</TotalTime>
  <ScaleCrop>false</ScaleCrop>
  <LinksUpToDate>false</LinksUpToDate>
  <CharactersWithSpaces>817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Administrator</cp:lastModifiedBy>
  <dcterms:modified xsi:type="dcterms:W3CDTF">2021-05-29T10:39:37Z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