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 w:val="32"/>
          <w:szCs w:val="32"/>
        </w:rPr>
      </w:pPr>
      <w:r>
        <w:rPr>
          <w:rFonts w:hint="eastAsia" w:ascii="黑体" w:hAnsi="黑体" w:eastAsia="黑体"/>
          <w:sz w:val="32"/>
          <w:szCs w:val="32"/>
          <w:lang w:val="en-US" w:eastAsia="zh-CN"/>
        </w:rPr>
        <w:t>·</w:t>
      </w:r>
      <w:r>
        <w:rPr>
          <w:rFonts w:hint="eastAsia" w:ascii="黑体" w:hAnsi="黑体" w:eastAsia="黑体"/>
          <w:sz w:val="32"/>
          <w:szCs w:val="32"/>
        </w:rPr>
        <w:t>附1</w:t>
      </w:r>
    </w:p>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110"/>
        <w:gridCol w:w="1024"/>
        <w:gridCol w:w="851"/>
        <w:gridCol w:w="283"/>
        <w:gridCol w:w="536"/>
        <w:gridCol w:w="173"/>
        <w:gridCol w:w="394"/>
        <w:gridCol w:w="457"/>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（2019年度）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巩乃斯镇贫困群体住房及居民供暖、排供水维修工程项目</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和静县巩乃斯镇人民政府</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和静县巩乃斯镇人民政府</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5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2019年和静县贫困群体住房全面投入使用，尾款完成付款</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尾款已支付完毕，</w:t>
            </w:r>
            <w:r>
              <w:rPr>
                <w:rFonts w:hint="eastAsia" w:ascii="宋体" w:hAnsi="宋体" w:eastAsia="宋体" w:cs="宋体"/>
                <w:kern w:val="0"/>
                <w:sz w:val="18"/>
                <w:szCs w:val="18"/>
              </w:rPr>
              <w:t>目前已审计，已经投入使用。</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97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40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97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公租房数量</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90/套</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90/套</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53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97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项目资金支付</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100万</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97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入住时间</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2019年</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2019年</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7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入住及时率</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197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项目资金支付</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100万</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100万</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792"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97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巩固和加强社会稳定</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有效提高</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95%</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1</w:t>
            </w:r>
            <w:r>
              <w:rPr>
                <w:rFonts w:hint="eastAsia" w:ascii="宋体" w:hAnsi="宋体" w:eastAsia="宋体" w:cs="宋体"/>
                <w:kern w:val="0"/>
                <w:sz w:val="18"/>
                <w:szCs w:val="18"/>
                <w:lang w:val="en-US" w:eastAsia="zh-CN"/>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eastAsia="宋体" w:cs="宋体"/>
                <w:color w:val="000000"/>
                <w:kern w:val="0"/>
                <w:sz w:val="15"/>
                <w:szCs w:val="15"/>
              </w:rPr>
              <w:t>巩固和加强社会稳定</w:t>
            </w:r>
            <w:r>
              <w:rPr>
                <w:rFonts w:hint="eastAsia" w:ascii="宋体" w:hAnsi="宋体" w:eastAsia="宋体" w:cs="宋体"/>
                <w:color w:val="000000"/>
                <w:kern w:val="0"/>
                <w:sz w:val="15"/>
                <w:szCs w:val="15"/>
                <w:lang w:val="en-US" w:eastAsia="zh-CN"/>
              </w:rPr>
              <w:t>的期望值未达标</w:t>
            </w:r>
          </w:p>
        </w:tc>
      </w:tr>
      <w:tr>
        <w:tblPrEx>
          <w:tblCellMar>
            <w:top w:w="0" w:type="dxa"/>
            <w:left w:w="108" w:type="dxa"/>
            <w:bottom w:w="0" w:type="dxa"/>
            <w:right w:w="108" w:type="dxa"/>
          </w:tblCellMar>
        </w:tblPrEx>
        <w:trPr>
          <w:trHeight w:val="791"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7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保障贫困居民基本生活</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有效改善</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95%</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改善居民基本生活的满意度未达标</w:t>
            </w:r>
          </w:p>
        </w:tc>
      </w:tr>
      <w:tr>
        <w:tblPrEx>
          <w:tblCellMar>
            <w:top w:w="0" w:type="dxa"/>
            <w:left w:w="108" w:type="dxa"/>
            <w:bottom w:w="0" w:type="dxa"/>
            <w:right w:w="108" w:type="dxa"/>
          </w:tblCellMar>
        </w:tblPrEx>
        <w:trPr>
          <w:trHeight w:val="499"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可持续影响指标</w:t>
            </w:r>
          </w:p>
        </w:tc>
        <w:tc>
          <w:tcPr>
            <w:tcW w:w="197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项目持续时间</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5"/>
                <w:szCs w:val="15"/>
              </w:rPr>
            </w:pPr>
            <w:r>
              <w:rPr>
                <w:rFonts w:hint="eastAsia" w:ascii="宋体" w:hAnsi="宋体" w:eastAsia="宋体" w:cs="宋体"/>
                <w:kern w:val="0"/>
                <w:sz w:val="15"/>
                <w:szCs w:val="15"/>
              </w:rPr>
              <w:t>2019年12月</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1年</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5"/>
                <w:szCs w:val="15"/>
                <w:lang w:val="en-US" w:eastAsia="zh-CN"/>
              </w:rPr>
            </w:pPr>
            <w:r>
              <w:rPr>
                <w:rFonts w:hint="eastAsia" w:ascii="宋体" w:hAnsi="宋体" w:eastAsia="宋体" w:cs="宋体"/>
                <w:kern w:val="0"/>
                <w:sz w:val="15"/>
                <w:szCs w:val="15"/>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80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97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群众满意度</w:t>
            </w:r>
          </w:p>
        </w:tc>
        <w:tc>
          <w:tcPr>
            <w:tcW w:w="102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98%</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98%</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无</w:t>
            </w: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81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99</w:t>
            </w:r>
          </w:p>
        </w:tc>
        <w:tc>
          <w:tcPr>
            <w:tcW w:w="116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rPr>
          <w:rFonts w:ascii="黑体" w:hAnsi="黑体" w:eastAsia="黑体"/>
        </w:rPr>
      </w:pPr>
      <w:r>
        <w:rPr>
          <w:rFonts w:hint="eastAsia" w:ascii="黑体" w:hAnsi="黑体" w:eastAsia="黑体"/>
        </w:rPr>
        <w:t>附2</w:t>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rPr>
      </w:pPr>
      <w:r>
        <w:rPr>
          <w:rFonts w:hint="eastAsia" w:ascii="仿宋_GB2312"/>
        </w:rPr>
        <w:t>（参考提纲）</w:t>
      </w:r>
    </w:p>
    <w:p>
      <w:pPr>
        <w:spacing w:line="600" w:lineRule="exact"/>
        <w:ind w:firstLine="600" w:firstLineChars="200"/>
        <w:rPr>
          <w:rFonts w:ascii="黑体" w:hAnsi="黑体" w:eastAsia="黑体"/>
        </w:rPr>
      </w:pPr>
      <w:r>
        <w:rPr>
          <w:rFonts w:hint="eastAsia" w:ascii="黑体" w:hAnsi="黑体" w:eastAsia="黑体"/>
        </w:rPr>
        <w:t>一、基本情况</w:t>
      </w:r>
    </w:p>
    <w:p>
      <w:pPr>
        <w:spacing w:line="600" w:lineRule="exact"/>
        <w:ind w:firstLine="600" w:firstLineChars="200"/>
        <w:outlineLvl w:val="0"/>
        <w:rPr>
          <w:rFonts w:ascii="仿宋_GB2312"/>
        </w:rPr>
      </w:pPr>
      <w:r>
        <w:rPr>
          <w:rFonts w:hint="eastAsia" w:ascii="仿宋_GB2312"/>
        </w:rPr>
        <w:t>（一）</w:t>
      </w:r>
      <w:r>
        <w:rPr>
          <w:rFonts w:hint="eastAsia" w:ascii="仿宋_GB2312" w:hAnsi="仿宋_GB2312" w:cs="仿宋_GB2312"/>
          <w:sz w:val="32"/>
          <w:szCs w:val="32"/>
        </w:rPr>
        <w:t>巩乃斯镇隶属新疆维吾尔自治区巴音郭楞蒙古自治州和静县巩乃斯镇，镇域总人口1361人，聚居着蒙、汉、维、哈等7个民族，蒙古族占97％，是土尔扈特蒙古族的主要聚集区。位于新疆和静县西北部，距和静县城255公里，国道218线贯穿镇域。总面积2277平方公里，其中草原面积8.29万公顷，森林面积7.9万公顷。镇域东南与额勒再特乌鲁乡相连，西与新源县那拉提5A级旅游景区接壤，北与尼勒克县、乌苏县、沙弯县毗邻。</w:t>
      </w:r>
    </w:p>
    <w:p>
      <w:pPr>
        <w:spacing w:line="600" w:lineRule="exact"/>
        <w:ind w:firstLine="600" w:firstLineChars="200"/>
        <w:outlineLvl w:val="0"/>
        <w:rPr>
          <w:rFonts w:ascii="仿宋_GB2312"/>
        </w:rPr>
      </w:pPr>
      <w:r>
        <w:rPr>
          <w:rFonts w:hint="eastAsia" w:ascii="仿宋_GB2312"/>
        </w:rPr>
        <w:t>（二）项目绩效目标。包括总体目标和阶段性目标。</w:t>
      </w:r>
    </w:p>
    <w:p>
      <w:pPr>
        <w:spacing w:line="600" w:lineRule="exact"/>
        <w:ind w:firstLine="600" w:firstLineChars="200"/>
        <w:outlineLvl w:val="0"/>
        <w:rPr>
          <w:rFonts w:ascii="仿宋_GB2312"/>
        </w:rPr>
      </w:pPr>
      <w:r>
        <w:rPr>
          <w:rFonts w:hint="eastAsia" w:ascii="仿宋_GB2312"/>
        </w:rPr>
        <w:t>总体目标：项目按时完成进度，严格把关各项资金支付。按时让</w:t>
      </w:r>
      <w:r>
        <w:rPr>
          <w:rFonts w:hint="eastAsia" w:ascii="仿宋_GB2312"/>
          <w:lang w:eastAsia="zh-CN"/>
        </w:rPr>
        <w:t>贫困</w:t>
      </w:r>
      <w:r>
        <w:rPr>
          <w:rFonts w:hint="eastAsia" w:ascii="仿宋_GB2312"/>
        </w:rPr>
        <w:t>群体及干部入住。</w:t>
      </w:r>
    </w:p>
    <w:p>
      <w:pPr>
        <w:spacing w:line="600" w:lineRule="exact"/>
        <w:ind w:firstLine="600" w:firstLineChars="200"/>
        <w:outlineLvl w:val="0"/>
        <w:rPr>
          <w:rFonts w:ascii="仿宋_GB2312"/>
        </w:rPr>
      </w:pPr>
      <w:r>
        <w:rPr>
          <w:rFonts w:hint="eastAsia" w:ascii="仿宋_GB2312"/>
        </w:rPr>
        <w:t>阶段性目标： 2019年9月开工建设起， 2019年11月完成该项目工程竣工并投入使用。</w:t>
      </w:r>
    </w:p>
    <w:p>
      <w:pPr>
        <w:spacing w:line="600" w:lineRule="exact"/>
        <w:ind w:firstLine="600" w:firstLineChars="200"/>
        <w:rPr>
          <w:rFonts w:hint="eastAsia" w:ascii="黑体" w:hAnsi="黑体" w:eastAsia="黑体"/>
        </w:rPr>
      </w:pPr>
      <w:r>
        <w:rPr>
          <w:rFonts w:hint="eastAsia" w:ascii="黑体" w:hAnsi="黑体" w:eastAsia="黑体"/>
        </w:rPr>
        <w:t>二、绩效评价工作开展情况</w:t>
      </w:r>
    </w:p>
    <w:p>
      <w:pPr>
        <w:spacing w:line="560" w:lineRule="exact"/>
        <w:ind w:firstLine="600" w:firstLineChars="200"/>
        <w:rPr>
          <w:rFonts w:ascii="仿宋_GB2312"/>
        </w:rPr>
      </w:pPr>
      <w:r>
        <w:rPr>
          <w:rFonts w:hint="eastAsia" w:ascii="仿宋_GB2312"/>
        </w:rPr>
        <w:t>（一）绩效评价目的、对象和范围。</w:t>
      </w:r>
    </w:p>
    <w:p>
      <w:pPr>
        <w:pBdr>
          <w:bottom w:val="single" w:color="FFFFFF" w:sz="4" w:space="0"/>
        </w:pBdr>
        <w:spacing w:line="560" w:lineRule="exact"/>
        <w:ind w:firstLine="600" w:firstLineChars="200"/>
        <w:textAlignment w:val="top"/>
        <w:rPr>
          <w:rFonts w:ascii="仿宋_GB2312" w:cs="仿宋_GB2312"/>
          <w:szCs w:val="30"/>
        </w:rPr>
      </w:pPr>
      <w:r>
        <w:rPr>
          <w:rFonts w:hint="eastAsia" w:ascii="仿宋_GB2312" w:cs="仿宋_GB2312"/>
          <w:szCs w:val="30"/>
        </w:rPr>
        <w:t>专项支出100万元，我镇认真落实节约、压缩一般性支出要求，严格按照招标程序、制度办事。资金使用及时，充分发挥经济效益、社会效益，绩效目标完成较好。 </w:t>
      </w:r>
    </w:p>
    <w:p>
      <w:pPr>
        <w:pBdr>
          <w:bottom w:val="single" w:color="FFFFFF" w:sz="4" w:space="0"/>
        </w:pBdr>
        <w:spacing w:line="560" w:lineRule="exact"/>
        <w:ind w:firstLine="600" w:firstLineChars="200"/>
        <w:textAlignment w:val="top"/>
        <w:rPr>
          <w:rFonts w:ascii="仿宋_GB2312" w:cs="仿宋_GB2312"/>
          <w:szCs w:val="30"/>
        </w:rPr>
      </w:pPr>
      <w:r>
        <w:rPr>
          <w:rFonts w:hint="eastAsia" w:ascii="仿宋_GB2312"/>
        </w:rPr>
        <w:t>（二）</w:t>
      </w:r>
      <w:r>
        <w:rPr>
          <w:rFonts w:hint="eastAsia" w:ascii="仿宋_GB2312" w:cs="仿宋_GB2312"/>
          <w:szCs w:val="30"/>
        </w:rPr>
        <w:t>1、绩效评价原则、坚持“客观、公正、公开、规范”，增强绩效评价的科学性和透明度。坚持效率优先，安排项目时提出明确的绩效目标。坚持预算安排与绩效评价结果相结合，切实提高资金使用效益。2、</w:t>
      </w:r>
      <w:r>
        <w:rPr>
          <w:rFonts w:hint="eastAsia" w:ascii="仿宋_GB2312"/>
        </w:rPr>
        <w:t>评价指标体系</w:t>
      </w:r>
      <w:r>
        <w:rPr>
          <w:rFonts w:hint="eastAsia" w:ascii="仿宋_GB2312"/>
          <w:lang w:eastAsia="zh-CN"/>
        </w:rPr>
        <w:t>，</w:t>
      </w:r>
      <w:r>
        <w:rPr>
          <w:rFonts w:ascii="仿宋_GB2312" w:cs="仿宋_GB2312"/>
          <w:szCs w:val="30"/>
        </w:rPr>
        <w:t>完成数量。将考核的实际工作量与项目设计批复应该完成的工作量进行对比，考核其实现程度。完成质量</w:t>
      </w:r>
      <w:r>
        <w:rPr>
          <w:rFonts w:hint="eastAsia" w:ascii="仿宋_GB2312" w:cs="仿宋_GB2312"/>
          <w:szCs w:val="30"/>
          <w:lang w:eastAsia="zh-CN"/>
        </w:rPr>
        <w:t>，</w:t>
      </w:r>
      <w:r>
        <w:rPr>
          <w:rFonts w:ascii="仿宋_GB2312" w:cs="仿宋_GB2312"/>
          <w:szCs w:val="30"/>
        </w:rPr>
        <w:t>根据国家、行业有关质量标准以及项目设计批复时的质量目标与考核实际工程质量状况相对比，考核其实现程度。完成进度、及时性。将项目实际工作进度与立项设计批复的进度进行对比，考核其进展程度和及时性。</w:t>
      </w:r>
      <w:r>
        <w:rPr>
          <w:rFonts w:hint="eastAsia" w:ascii="仿宋_GB2312"/>
        </w:rPr>
        <w:t>3、评</w:t>
      </w:r>
      <w:r>
        <w:rPr>
          <w:rFonts w:hint="eastAsia" w:ascii="仿宋_GB2312" w:cs="仿宋_GB2312"/>
          <w:szCs w:val="30"/>
        </w:rPr>
        <w:t>价方法，因素分析法是指将一定时期内的支出与效益进行对比分析以评价绩效目标实现程度。4、评价标准，按照计划标准评价，预先制定的目标、计划、预算、定额等数据作为评价的标准。</w:t>
      </w:r>
    </w:p>
    <w:p>
      <w:pPr>
        <w:pBdr>
          <w:bottom w:val="single" w:color="FFFFFF" w:sz="4" w:space="0"/>
        </w:pBdr>
        <w:spacing w:line="560" w:lineRule="exact"/>
        <w:ind w:firstLine="600" w:firstLineChars="200"/>
        <w:textAlignment w:val="top"/>
        <w:rPr>
          <w:rFonts w:ascii="仿宋_GB2312" w:cs="仿宋_GB2312"/>
          <w:szCs w:val="30"/>
        </w:rPr>
      </w:pPr>
      <w:r>
        <w:rPr>
          <w:rFonts w:hint="eastAsia" w:ascii="仿宋_GB2312"/>
        </w:rPr>
        <w:t>（</w:t>
      </w:r>
      <w:r>
        <w:rPr>
          <w:rFonts w:hint="eastAsia" w:ascii="仿宋_GB2312" w:cs="仿宋_GB2312"/>
          <w:szCs w:val="30"/>
        </w:rPr>
        <w:t>三）绩效评价工作过程。和静县巩乃斯镇人民政府作为项目承担单位负责项目变更审批、项目合同段验收、项目实施的监督检查和各方协调、财务决算审计等工作；项目所在地和静县巩乃斯镇人民政府作为实施单位负责项目的具体实施工作、</w:t>
      </w:r>
      <w:r>
        <w:rPr>
          <w:rFonts w:hint="eastAsia" w:ascii="仿宋_GB2312" w:cs="仿宋_GB2312"/>
          <w:szCs w:val="30"/>
          <w:lang w:eastAsia="zh-CN"/>
        </w:rPr>
        <w:t>部分</w:t>
      </w:r>
      <w:r>
        <w:rPr>
          <w:rFonts w:hint="eastAsia" w:ascii="仿宋_GB2312" w:cs="仿宋_GB2312"/>
          <w:szCs w:val="30"/>
        </w:rPr>
        <w:t>验收工作等工作。</w:t>
      </w:r>
    </w:p>
    <w:p>
      <w:pPr>
        <w:pBdr>
          <w:bottom w:val="single" w:color="FFFFFF" w:sz="4" w:space="0"/>
        </w:pBdr>
        <w:spacing w:line="560" w:lineRule="exact"/>
        <w:ind w:firstLine="600" w:firstLineChars="200"/>
        <w:textAlignment w:val="top"/>
        <w:rPr>
          <w:rFonts w:ascii="仿宋_GB2312" w:cs="仿宋_GB2312"/>
          <w:szCs w:val="30"/>
        </w:rPr>
      </w:pPr>
      <w:r>
        <w:rPr>
          <w:rFonts w:hint="eastAsia" w:ascii="仿宋_GB2312" w:cs="仿宋_GB2312"/>
          <w:szCs w:val="30"/>
        </w:rPr>
        <w:t>项目专门成立了绩效评价领导小组，负责在实施过程中的协调和重大事项的审批工作，领导小组由分管项目工作的领导担任组长， 成员由项目所在地政府办公室、财政所、国土资源所、城建办、环保局等单位组成</w:t>
      </w:r>
    </w:p>
    <w:p>
      <w:pPr>
        <w:spacing w:line="600" w:lineRule="exact"/>
        <w:ind w:firstLine="600" w:firstLineChars="200"/>
        <w:rPr>
          <w:rFonts w:ascii="仿宋_GB2312"/>
        </w:rPr>
      </w:pPr>
      <w:r>
        <w:rPr>
          <w:rFonts w:hint="eastAsia" w:ascii="黑体" w:hAnsi="黑体" w:eastAsia="黑体"/>
        </w:rPr>
        <w:t>三、综合评价情况及评价结论</w:t>
      </w:r>
      <w:r>
        <w:rPr>
          <w:rFonts w:hint="eastAsia" w:ascii="仿宋_GB2312"/>
        </w:rPr>
        <w:t>（附相关评分表）</w:t>
      </w:r>
    </w:p>
    <w:p>
      <w:pPr>
        <w:spacing w:line="600" w:lineRule="exact"/>
        <w:ind w:firstLine="600" w:firstLineChars="200"/>
        <w:rPr>
          <w:rFonts w:ascii="黑体" w:hAnsi="黑体" w:eastAsia="黑体"/>
        </w:rPr>
      </w:pPr>
      <w:r>
        <w:rPr>
          <w:rFonts w:hint="eastAsia" w:ascii="黑体" w:hAnsi="黑体" w:eastAsia="黑体"/>
        </w:rPr>
        <w:t>四、绩效评价指标分析</w:t>
      </w:r>
    </w:p>
    <w:p>
      <w:pPr>
        <w:spacing w:line="600" w:lineRule="exact"/>
        <w:ind w:firstLine="600" w:firstLineChars="200"/>
        <w:outlineLvl w:val="0"/>
        <w:rPr>
          <w:rFonts w:ascii="仿宋_GB2312"/>
        </w:rPr>
      </w:pPr>
      <w:r>
        <w:rPr>
          <w:rFonts w:hint="eastAsia" w:ascii="仿宋_GB2312"/>
        </w:rPr>
        <w:t>（一）项目决策情况。</w:t>
      </w:r>
    </w:p>
    <w:p>
      <w:pPr>
        <w:spacing w:line="600" w:lineRule="exact"/>
        <w:ind w:firstLine="600" w:firstLineChars="200"/>
        <w:outlineLvl w:val="0"/>
        <w:rPr>
          <w:rFonts w:ascii="仿宋_GB2312"/>
        </w:rPr>
      </w:pPr>
      <w:r>
        <w:rPr>
          <w:rFonts w:hint="eastAsia" w:ascii="仿宋_GB2312"/>
        </w:rPr>
        <w:t>结合我镇实际，及时会同发改、国土、规划、环保等相关部门对项目立项、用地批复，规划审批，项目环评等工作进行会商。</w:t>
      </w:r>
    </w:p>
    <w:p>
      <w:pPr>
        <w:spacing w:line="600" w:lineRule="exact"/>
        <w:ind w:firstLine="600" w:firstLineChars="200"/>
        <w:outlineLvl w:val="0"/>
        <w:rPr>
          <w:rFonts w:ascii="仿宋_GB2312"/>
        </w:rPr>
      </w:pPr>
      <w:r>
        <w:rPr>
          <w:rFonts w:hint="eastAsia" w:ascii="仿宋_GB2312"/>
        </w:rPr>
        <w:t>（二） 项目过程情况。</w:t>
      </w:r>
    </w:p>
    <w:p>
      <w:pPr>
        <w:spacing w:line="600" w:lineRule="exact"/>
        <w:ind w:firstLine="600" w:firstLineChars="200"/>
        <w:outlineLvl w:val="0"/>
        <w:rPr>
          <w:rFonts w:ascii="仿宋_GB2312"/>
        </w:rPr>
      </w:pPr>
      <w:r>
        <w:rPr>
          <w:rFonts w:hint="eastAsia" w:ascii="仿宋_GB2312"/>
        </w:rPr>
        <w:t>因做了充分的准备和协调，选址、征地、设计、立项、招标等工作压差进行，极大地节约了时间，提高了效率。对前来竞标的施工单位，按照有合格的建筑资格证书，有自</w:t>
      </w:r>
      <w:bookmarkStart w:id="0" w:name="_GoBack"/>
      <w:bookmarkEnd w:id="0"/>
      <w:r>
        <w:rPr>
          <w:rFonts w:hint="eastAsia" w:ascii="仿宋_GB2312"/>
          <w:lang w:eastAsia="zh-CN"/>
        </w:rPr>
        <w:t>已具备</w:t>
      </w:r>
      <w:r>
        <w:rPr>
          <w:rFonts w:hint="eastAsia" w:ascii="仿宋_GB2312"/>
        </w:rPr>
        <w:t>先垫付建设资金的能力，有充足的施工队伍，施工机械设备配套完整的“三有一设备”的审核制度，杜绝“走后门、跑关系”的不正之风。</w:t>
      </w:r>
    </w:p>
    <w:p>
      <w:pPr>
        <w:numPr>
          <w:ilvl w:val="0"/>
          <w:numId w:val="1"/>
        </w:numPr>
        <w:spacing w:line="600" w:lineRule="exact"/>
        <w:ind w:firstLine="600" w:firstLineChars="200"/>
        <w:outlineLvl w:val="0"/>
        <w:rPr>
          <w:rFonts w:ascii="仿宋_GB2312"/>
        </w:rPr>
      </w:pPr>
      <w:r>
        <w:rPr>
          <w:rFonts w:hint="eastAsia" w:ascii="仿宋_GB2312"/>
        </w:rPr>
        <w:t>项目产出情况。</w:t>
      </w:r>
    </w:p>
    <w:p>
      <w:pPr>
        <w:spacing w:line="600" w:lineRule="exact"/>
        <w:ind w:firstLine="600" w:firstLineChars="200"/>
        <w:outlineLvl w:val="0"/>
        <w:rPr>
          <w:rFonts w:ascii="仿宋_GB2312"/>
        </w:rPr>
      </w:pPr>
      <w:r>
        <w:rPr>
          <w:rFonts w:hint="eastAsia" w:ascii="仿宋_GB2312"/>
        </w:rPr>
        <w:t>县委、县政府高度重视项目进展，多次在项目工作会议上听取工程进展汇报；镇领导能多次赴施工现场解决项目建设中遇到的问题，该项目得到了高位推动。我镇成立项目工作领导小组，制定《实施方案》，明确工作职责，落实工作任务，定期检查工程质量和进度。要求施工单位制订工程建设进度计划，完善安全设施，保证项目在时序进度内保质保量保安全顺利推进。</w:t>
      </w:r>
    </w:p>
    <w:p>
      <w:pPr>
        <w:numPr>
          <w:ilvl w:val="0"/>
          <w:numId w:val="1"/>
        </w:numPr>
        <w:spacing w:line="600" w:lineRule="exact"/>
        <w:ind w:firstLine="600" w:firstLineChars="200"/>
        <w:outlineLvl w:val="0"/>
        <w:rPr>
          <w:rFonts w:ascii="仿宋_GB2312"/>
        </w:rPr>
      </w:pPr>
      <w:r>
        <w:rPr>
          <w:rFonts w:hint="eastAsia" w:ascii="仿宋_GB2312"/>
        </w:rPr>
        <w:t>项目效益情况。</w:t>
      </w:r>
    </w:p>
    <w:p>
      <w:pPr>
        <w:spacing w:line="600" w:lineRule="exact"/>
        <w:ind w:firstLine="750" w:firstLineChars="250"/>
        <w:outlineLvl w:val="0"/>
        <w:rPr>
          <w:rFonts w:ascii="仿宋_GB2312"/>
        </w:rPr>
      </w:pPr>
      <w:r>
        <w:rPr>
          <w:rFonts w:hint="eastAsia" w:ascii="仿宋_GB2312"/>
        </w:rPr>
        <w:t>有利于缓解贫困群体的实际困难。密切了党群关系，促进社会协调发展。给居民及干部创造良好的生活环境。</w:t>
      </w:r>
    </w:p>
    <w:p>
      <w:pPr>
        <w:spacing w:line="600" w:lineRule="exact"/>
        <w:ind w:firstLine="600" w:firstLineChars="200"/>
        <w:rPr>
          <w:rFonts w:ascii="黑体" w:hAnsi="黑体" w:eastAsia="黑体"/>
        </w:rPr>
      </w:pPr>
      <w:r>
        <w:rPr>
          <w:rFonts w:hint="eastAsia" w:ascii="黑体" w:hAnsi="黑体" w:eastAsia="黑体"/>
        </w:rPr>
        <w:t>五、主要经验及做法、存在的问题及原因分析</w:t>
      </w:r>
    </w:p>
    <w:p>
      <w:pPr>
        <w:spacing w:line="600" w:lineRule="exact"/>
        <w:ind w:firstLine="600" w:firstLineChars="200"/>
        <w:outlineLvl w:val="0"/>
        <w:rPr>
          <w:rFonts w:ascii="仿宋_GB2312" w:hAnsi="仿宋_GB2312" w:cs="仿宋_GB2312"/>
          <w:color w:val="000000"/>
          <w:sz w:val="32"/>
          <w:szCs w:val="32"/>
        </w:rPr>
      </w:pPr>
      <w:r>
        <w:rPr>
          <w:rFonts w:hint="eastAsia" w:ascii="仿宋_GB2312"/>
        </w:rPr>
        <w:t>一是要求监理公司选配一名高文化、技术强、的人员8小时旁站施工现场进行监督指导；二是采取督查通报的形式，对在建项目工程实施质量、进度一月2次不定期进行督查通报；三是不准出现施工单位擅自更改或不按设计图纸施工的现象，严格按照统一设计的图纸施工，保障工程有序实施。</w:t>
      </w:r>
    </w:p>
    <w:p>
      <w:pPr>
        <w:numPr>
          <w:ilvl w:val="0"/>
          <w:numId w:val="2"/>
        </w:numPr>
        <w:spacing w:line="600" w:lineRule="exact"/>
        <w:ind w:firstLine="600" w:firstLineChars="200"/>
        <w:rPr>
          <w:rFonts w:ascii="黑体" w:hAnsi="黑体" w:eastAsia="黑体"/>
        </w:rPr>
      </w:pPr>
      <w:r>
        <w:rPr>
          <w:rFonts w:hint="eastAsia" w:ascii="黑体" w:hAnsi="黑体" w:eastAsia="黑体"/>
        </w:rPr>
        <w:t>有关建议</w:t>
      </w:r>
    </w:p>
    <w:p>
      <w:pPr>
        <w:spacing w:line="600" w:lineRule="exact"/>
        <w:ind w:firstLine="600" w:firstLineChars="200"/>
        <w:rPr>
          <w:rFonts w:hint="eastAsia" w:ascii="仿宋_GB2312"/>
        </w:rPr>
      </w:pPr>
      <w:r>
        <w:rPr>
          <w:rFonts w:hint="eastAsia" w:ascii="仿宋_GB2312"/>
        </w:rPr>
        <w:t>无</w:t>
      </w:r>
    </w:p>
    <w:p>
      <w:pPr>
        <w:spacing w:line="600" w:lineRule="exact"/>
        <w:ind w:firstLine="600" w:firstLineChars="200"/>
        <w:rPr>
          <w:rFonts w:ascii="黑体" w:hAnsi="黑体" w:eastAsia="黑体"/>
        </w:rPr>
      </w:pPr>
      <w:r>
        <w:rPr>
          <w:rFonts w:hint="eastAsia" w:ascii="黑体" w:hAnsi="黑体" w:eastAsia="黑体"/>
        </w:rPr>
        <w:t>七、其他需要说明的问题</w:t>
      </w:r>
    </w:p>
    <w:p>
      <w:pPr>
        <w:spacing w:line="600" w:lineRule="exact"/>
        <w:ind w:firstLine="600" w:firstLineChars="200"/>
        <w:outlineLvl w:val="0"/>
        <w:rPr>
          <w:rFonts w:ascii="仿宋_GB2312"/>
        </w:rPr>
      </w:pPr>
      <w:r>
        <w:rPr>
          <w:rFonts w:hint="eastAsia" w:ascii="仿宋_GB2312"/>
        </w:rPr>
        <w:t>无。</w:t>
      </w:r>
    </w:p>
    <w:p>
      <w:pPr>
        <w:rPr>
          <w:rFonts w:ascii="仿宋_GB2312"/>
          <w:bCs/>
          <w:sz w:val="32"/>
          <w:szCs w:val="32"/>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39C80B"/>
    <w:multiLevelType w:val="singleLevel"/>
    <w:tmpl w:val="9139C80B"/>
    <w:lvl w:ilvl="0" w:tentative="0">
      <w:start w:val="3"/>
      <w:numFmt w:val="chineseCounting"/>
      <w:suff w:val="nothing"/>
      <w:lvlText w:val="（%1）"/>
      <w:lvlJc w:val="left"/>
      <w:rPr>
        <w:rFonts w:hint="eastAsia"/>
      </w:rPr>
    </w:lvl>
  </w:abstractNum>
  <w:abstractNum w:abstractNumId="1">
    <w:nsid w:val="BA51A120"/>
    <w:multiLevelType w:val="singleLevel"/>
    <w:tmpl w:val="BA51A120"/>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I0OWRiMTZiMzRmNjNlMGUwZWQ4OTZmMWRjYmExZDUifQ=="/>
  </w:docVars>
  <w:rsids>
    <w:rsidRoot w:val="00535AC9"/>
    <w:rsid w:val="000B4E42"/>
    <w:rsid w:val="0043448B"/>
    <w:rsid w:val="004B4F7A"/>
    <w:rsid w:val="00535AC9"/>
    <w:rsid w:val="005E2CEE"/>
    <w:rsid w:val="007343A9"/>
    <w:rsid w:val="00B24742"/>
    <w:rsid w:val="00BB6F17"/>
    <w:rsid w:val="00BF2807"/>
    <w:rsid w:val="00D826FC"/>
    <w:rsid w:val="00E068C3"/>
    <w:rsid w:val="00E3118B"/>
    <w:rsid w:val="00EC61DD"/>
    <w:rsid w:val="01FE3B58"/>
    <w:rsid w:val="078354C3"/>
    <w:rsid w:val="39F070EC"/>
    <w:rsid w:val="3ECF5638"/>
    <w:rsid w:val="3FFD3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354</Words>
  <Characters>2019</Characters>
  <Lines>16</Lines>
  <Paragraphs>4</Paragraphs>
  <TotalTime>4</TotalTime>
  <ScaleCrop>false</ScaleCrop>
  <LinksUpToDate>false</LinksUpToDate>
  <CharactersWithSpaces>2369</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觉伦图尔根</cp:lastModifiedBy>
  <dcterms:modified xsi:type="dcterms:W3CDTF">2024-03-21T10:23:32Z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70A3DCA1547C464CBCCF1315389E60D2_12</vt:lpwstr>
  </property>
</Properties>
</file>