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142"/>
        <w:gridCol w:w="709"/>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eastAsia="宋体" w:cs="宋体"/>
                <w:b/>
                <w:bCs/>
                <w:kern w:val="0"/>
                <w:sz w:val="32"/>
                <w:szCs w:val="32"/>
              </w:rPr>
            </w:pPr>
            <w:r>
              <w:rPr>
                <w:rFonts w:hint="eastAsia" w:ascii="宋体" w:hAnsi="宋体" w:eastAsia="宋体" w:cs="宋体"/>
                <w:b/>
                <w:bCs/>
                <w:kern w:val="0"/>
                <w:sz w:val="32"/>
                <w:szCs w:val="32"/>
                <w:lang w:val="en-US" w:eastAsia="zh-CN"/>
              </w:rPr>
              <w:t>新疆巴州和静县人大常委会办公室</w:t>
            </w:r>
            <w:r>
              <w:rPr>
                <w:rFonts w:hint="eastAsia" w:ascii="宋体" w:hAnsi="宋体" w:eastAsia="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（2019年度）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自治区人大基层补助经费</w:t>
            </w:r>
          </w:p>
        </w:tc>
      </w:tr>
      <w:tr>
        <w:tblPrEx>
          <w:tblCellMar>
            <w:top w:w="0" w:type="dxa"/>
            <w:left w:w="108" w:type="dxa"/>
            <w:bottom w:w="0" w:type="dxa"/>
            <w:right w:w="108" w:type="dxa"/>
          </w:tblCellMar>
        </w:tblPrEx>
        <w:trPr>
          <w:trHeight w:val="387"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和静县人大常委会办公室</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巴州和静县人大常委会办公室</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6</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5.04</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84%</w:t>
            </w:r>
          </w:p>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8.4</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6</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5.04</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84%</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8.4</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val="en-US" w:eastAsia="zh-CN"/>
              </w:rPr>
              <w:t>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val="en-US" w:eastAsia="zh-CN"/>
              </w:rPr>
              <w:t>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val="en-US" w:eastAsia="zh-CN"/>
              </w:rPr>
              <w:t>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val="en-US" w:eastAsia="zh-CN"/>
              </w:rPr>
              <w:t>0</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实际完成情况</w:t>
            </w:r>
          </w:p>
        </w:tc>
      </w:tr>
      <w:tr>
        <w:tblPrEx>
          <w:tblCellMar>
            <w:top w:w="0" w:type="dxa"/>
            <w:left w:w="108" w:type="dxa"/>
            <w:bottom w:w="0" w:type="dxa"/>
            <w:right w:w="108" w:type="dxa"/>
          </w:tblCellMar>
        </w:tblPrEx>
        <w:trPr>
          <w:trHeight w:val="1958"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160" w:lineRule="exact"/>
              <w:jc w:val="left"/>
              <w:rPr>
                <w:rFonts w:ascii="宋体" w:hAnsi="宋体" w:eastAsia="宋体" w:cs="宋体"/>
                <w:kern w:val="0"/>
                <w:sz w:val="15"/>
                <w:szCs w:val="15"/>
              </w:rPr>
            </w:pPr>
            <w:r>
              <w:rPr>
                <w:rFonts w:hint="eastAsia" w:ascii="宋体" w:hAnsi="宋体" w:eastAsia="宋体" w:cs="宋体"/>
                <w:kern w:val="0"/>
                <w:sz w:val="15"/>
                <w:szCs w:val="15"/>
              </w:rPr>
              <w:t>目标1：在和静县党委的坚强领导下，高举中国特色社会主义伟大旗积，以习近平新时代中国特色社会主义思想为指引，坚定不移贯彻落实党中央治疆方略特别是社会稳定和长治久安总目标，学习贯彻习近平总书记关于坚持和完善人民代表大会制度的重要思想交流会以及自治区人大系统党的建设工作会议精神，依法履行宪法法律赋予的各项职权，认真完成好县党委十三届四次全体会议提出的各项目标任务，以新时代新担当新作为推动人大工作再上新水平。</w:t>
            </w:r>
          </w:p>
          <w:p>
            <w:pPr>
              <w:widowControl/>
              <w:spacing w:line="160" w:lineRule="exact"/>
              <w:jc w:val="left"/>
              <w:rPr>
                <w:rFonts w:ascii="宋体" w:hAnsi="宋体" w:eastAsia="宋体" w:cs="宋体"/>
                <w:kern w:val="0"/>
                <w:sz w:val="18"/>
                <w:szCs w:val="18"/>
              </w:rPr>
            </w:pPr>
            <w:r>
              <w:rPr>
                <w:rFonts w:hint="eastAsia" w:ascii="宋体" w:hAnsi="宋体" w:eastAsia="宋体" w:cs="宋体"/>
                <w:kern w:val="0"/>
                <w:sz w:val="15"/>
                <w:szCs w:val="15"/>
              </w:rPr>
              <w:t>目标2：一是坚定不移聚焦总目标，坚持党对人大工作的全面领导。二是坚定不移聚焦总目标，加强和改进监督工作。三是坚定不移聚焦总目标，依法决定重大事项。四是坚定不移聚焦总目标，改进和完善代表工作。五是坚定不移聚焦总目标，不断推动人大自身建设。</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rPr>
              <w:t>保障改善民生、维护社会稳定、强化基层基础通过代表视察，调研写出对县委政府有建设性的调研报告，加强办公能力，按时完成各项工作。</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CellMar>
            <w:top w:w="0" w:type="dxa"/>
            <w:left w:w="108" w:type="dxa"/>
            <w:bottom w:w="0" w:type="dxa"/>
            <w:right w:w="108" w:type="dxa"/>
          </w:tblCellMar>
        </w:tblPrEx>
        <w:trPr>
          <w:trHeight w:val="46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产出指标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w:t>
            </w:r>
            <w:r>
              <w:rPr>
                <w:rFonts w:hint="eastAsia" w:ascii="宋体" w:hAnsi="宋体" w:eastAsia="宋体" w:cs="宋体"/>
                <w:color w:val="000000"/>
                <w:kern w:val="0"/>
                <w:sz w:val="15"/>
                <w:szCs w:val="15"/>
              </w:rPr>
              <w:t>人大代表人数（县.州.区）</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5"/>
                <w:szCs w:val="15"/>
              </w:rPr>
            </w:pPr>
            <w:r>
              <w:rPr>
                <w:rFonts w:hint="eastAsia" w:ascii="宋体" w:hAnsi="宋体" w:eastAsia="宋体" w:cs="宋体"/>
                <w:kern w:val="0"/>
                <w:sz w:val="15"/>
                <w:szCs w:val="15"/>
              </w:rPr>
              <w:t>≥165个</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5"/>
                <w:szCs w:val="15"/>
              </w:rPr>
            </w:pPr>
            <w:r>
              <w:rPr>
                <w:rFonts w:hint="eastAsia" w:ascii="宋体" w:hAnsi="宋体" w:eastAsia="宋体" w:cs="宋体"/>
                <w:kern w:val="0"/>
                <w:sz w:val="15"/>
                <w:szCs w:val="15"/>
              </w:rPr>
              <w:t>165个</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5"/>
                <w:szCs w:val="15"/>
              </w:rPr>
            </w:pPr>
            <w:r>
              <w:rPr>
                <w:rFonts w:hint="eastAsia" w:ascii="宋体" w:hAnsi="宋体" w:eastAsia="宋体" w:cs="宋体"/>
                <w:kern w:val="0"/>
                <w:sz w:val="15"/>
                <w:szCs w:val="15"/>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5"/>
                <w:szCs w:val="15"/>
              </w:rPr>
            </w:pPr>
            <w:r>
              <w:rPr>
                <w:rFonts w:hint="eastAsia" w:ascii="宋体" w:hAnsi="宋体" w:eastAsia="宋体" w:cs="宋体"/>
                <w:kern w:val="0"/>
                <w:sz w:val="15"/>
                <w:szCs w:val="15"/>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lang w:eastAsia="zh-CN"/>
              </w:rPr>
            </w:pPr>
            <w:r>
              <w:rPr>
                <w:rFonts w:hint="eastAsia" w:ascii="宋体" w:hAnsi="宋体" w:eastAsia="宋体" w:cs="宋体"/>
                <w:kern w:val="0"/>
                <w:sz w:val="15"/>
                <w:szCs w:val="15"/>
                <w:lang w:eastAsia="zh-CN"/>
              </w:rPr>
              <w:t>无</w:t>
            </w:r>
          </w:p>
        </w:tc>
      </w:tr>
      <w:tr>
        <w:tblPrEx>
          <w:tblCellMar>
            <w:top w:w="0" w:type="dxa"/>
            <w:left w:w="108" w:type="dxa"/>
            <w:bottom w:w="0" w:type="dxa"/>
            <w:right w:w="108" w:type="dxa"/>
          </w:tblCellMar>
        </w:tblPrEx>
        <w:trPr>
          <w:trHeight w:val="524"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w:t>
            </w:r>
            <w:r>
              <w:rPr>
                <w:rFonts w:hint="eastAsia" w:ascii="宋体" w:hAnsi="宋体" w:eastAsia="宋体" w:cs="宋体"/>
                <w:color w:val="000000"/>
                <w:kern w:val="0"/>
                <w:sz w:val="15"/>
                <w:szCs w:val="15"/>
              </w:rPr>
              <w:t>人大代表办理议案回复率</w:t>
            </w:r>
          </w:p>
        </w:tc>
        <w:tc>
          <w:tcPr>
            <w:tcW w:w="850" w:type="dxa"/>
            <w:tcBorders>
              <w:top w:val="nil"/>
              <w:left w:val="nil"/>
              <w:bottom w:val="single" w:color="auto" w:sz="4" w:space="0"/>
              <w:right w:val="single" w:color="auto" w:sz="4" w:space="0"/>
            </w:tcBorders>
            <w:vAlign w:val="center"/>
          </w:tcPr>
          <w:p>
            <w:pPr>
              <w:jc w:val="center"/>
              <w:rPr>
                <w:rFonts w:ascii="宋体" w:hAnsi="宋体" w:eastAsia="宋体" w:cs="宋体"/>
                <w:color w:val="000000"/>
                <w:sz w:val="15"/>
                <w:szCs w:val="15"/>
              </w:rPr>
            </w:pPr>
            <w:r>
              <w:rPr>
                <w:rFonts w:hint="eastAsia" w:ascii="宋体" w:hAnsi="宋体" w:eastAsia="宋体"/>
                <w:color w:val="000000"/>
                <w:sz w:val="15"/>
                <w:szCs w:val="15"/>
              </w:rPr>
              <w:t>≥96%</w:t>
            </w:r>
          </w:p>
          <w:p>
            <w:pPr>
              <w:widowControl/>
              <w:spacing w:line="240" w:lineRule="exact"/>
              <w:jc w:val="center"/>
              <w:rPr>
                <w:rFonts w:ascii="宋体" w:hAnsi="宋体" w:eastAsia="宋体" w:cs="宋体"/>
                <w:kern w:val="0"/>
                <w:sz w:val="15"/>
                <w:szCs w:val="15"/>
              </w:rPr>
            </w:pPr>
          </w:p>
        </w:tc>
        <w:tc>
          <w:tcPr>
            <w:tcW w:w="851" w:type="dxa"/>
            <w:tcBorders>
              <w:top w:val="nil"/>
              <w:left w:val="nil"/>
              <w:bottom w:val="single" w:color="auto" w:sz="4" w:space="0"/>
              <w:right w:val="single" w:color="auto" w:sz="4" w:space="0"/>
            </w:tcBorders>
            <w:vAlign w:val="center"/>
          </w:tcPr>
          <w:p>
            <w:pPr>
              <w:jc w:val="center"/>
              <w:rPr>
                <w:rFonts w:ascii="宋体" w:hAnsi="宋体" w:eastAsia="宋体" w:cs="宋体"/>
                <w:color w:val="000000"/>
                <w:sz w:val="15"/>
                <w:szCs w:val="15"/>
              </w:rPr>
            </w:pPr>
            <w:r>
              <w:rPr>
                <w:rFonts w:hint="eastAsia" w:ascii="宋体" w:hAnsi="宋体" w:eastAsia="宋体"/>
                <w:color w:val="000000"/>
                <w:sz w:val="15"/>
                <w:szCs w:val="15"/>
              </w:rPr>
              <w:t>96%</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5"/>
                <w:szCs w:val="15"/>
              </w:rPr>
            </w:pPr>
            <w:r>
              <w:rPr>
                <w:rFonts w:hint="eastAsia" w:ascii="宋体" w:hAnsi="宋体" w:eastAsia="宋体" w:cs="宋体"/>
                <w:kern w:val="0"/>
                <w:sz w:val="15"/>
                <w:szCs w:val="15"/>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5"/>
                <w:szCs w:val="15"/>
              </w:rPr>
            </w:pPr>
            <w:r>
              <w:rPr>
                <w:rFonts w:hint="eastAsia" w:ascii="宋体" w:hAnsi="宋体" w:eastAsia="宋体" w:cs="宋体"/>
                <w:kern w:val="0"/>
                <w:sz w:val="15"/>
                <w:szCs w:val="15"/>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lang w:eastAsia="zh-CN"/>
              </w:rPr>
            </w:pPr>
            <w:r>
              <w:rPr>
                <w:rFonts w:hint="eastAsia" w:ascii="宋体" w:hAnsi="宋体" w:eastAsia="宋体" w:cs="宋体"/>
                <w:kern w:val="0"/>
                <w:sz w:val="15"/>
                <w:szCs w:val="15"/>
                <w:lang w:eastAsia="zh-CN"/>
              </w:rPr>
              <w:t>无</w:t>
            </w:r>
          </w:p>
        </w:tc>
      </w:tr>
      <w:tr>
        <w:tblPrEx>
          <w:tblCellMar>
            <w:top w:w="0" w:type="dxa"/>
            <w:left w:w="108" w:type="dxa"/>
            <w:bottom w:w="0" w:type="dxa"/>
            <w:right w:w="108" w:type="dxa"/>
          </w:tblCellMar>
        </w:tblPrEx>
        <w:trPr>
          <w:trHeight w:val="541"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r>
              <w:rPr>
                <w:rFonts w:hint="eastAsia" w:ascii="宋体" w:hAnsi="宋体" w:eastAsia="宋体" w:cs="宋体"/>
                <w:color w:val="000000"/>
                <w:kern w:val="0"/>
                <w:sz w:val="15"/>
                <w:szCs w:val="15"/>
              </w:rPr>
              <w:t>办公室各项经费执行率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5"/>
                <w:szCs w:val="15"/>
              </w:rPr>
            </w:pPr>
            <w:r>
              <w:rPr>
                <w:rFonts w:hint="eastAsia" w:ascii="宋体" w:hAnsi="宋体" w:eastAsia="宋体" w:cs="宋体"/>
                <w:kern w:val="0"/>
                <w:sz w:val="15"/>
                <w:szCs w:val="15"/>
              </w:rPr>
              <w:t>≥97%</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5"/>
                <w:szCs w:val="15"/>
              </w:rPr>
            </w:pPr>
            <w:r>
              <w:rPr>
                <w:rFonts w:hint="eastAsia" w:ascii="宋体" w:hAnsi="宋体" w:eastAsia="宋体" w:cs="宋体"/>
                <w:kern w:val="0"/>
                <w:sz w:val="15"/>
                <w:szCs w:val="15"/>
              </w:rPr>
              <w:t>97%</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5"/>
                <w:szCs w:val="15"/>
              </w:rPr>
            </w:pPr>
            <w:r>
              <w:rPr>
                <w:rFonts w:hint="eastAsia" w:ascii="宋体" w:hAnsi="宋体" w:eastAsia="宋体" w:cs="宋体"/>
                <w:kern w:val="0"/>
                <w:sz w:val="15"/>
                <w:szCs w:val="15"/>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rPr>
            </w:pPr>
            <w:r>
              <w:rPr>
                <w:rFonts w:hint="eastAsia" w:ascii="宋体" w:hAnsi="宋体" w:eastAsia="宋体" w:cs="宋体"/>
                <w:kern w:val="0"/>
                <w:sz w:val="15"/>
                <w:szCs w:val="15"/>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lang w:eastAsia="zh-CN"/>
              </w:rPr>
            </w:pPr>
            <w:r>
              <w:rPr>
                <w:rFonts w:hint="eastAsia" w:ascii="宋体" w:hAnsi="宋体" w:eastAsia="宋体" w:cs="宋体"/>
                <w:kern w:val="0"/>
                <w:sz w:val="15"/>
                <w:szCs w:val="15"/>
                <w:lang w:eastAsia="zh-CN"/>
              </w:rPr>
              <w:t>无</w:t>
            </w:r>
          </w:p>
        </w:tc>
      </w:tr>
      <w:tr>
        <w:tblPrEx>
          <w:tblCellMar>
            <w:top w:w="0" w:type="dxa"/>
            <w:left w:w="108" w:type="dxa"/>
            <w:bottom w:w="0" w:type="dxa"/>
            <w:right w:w="108" w:type="dxa"/>
          </w:tblCellMar>
        </w:tblPrEx>
        <w:trPr>
          <w:trHeight w:val="596"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指标1：按时完成人大各项工作</w:t>
            </w:r>
          </w:p>
        </w:tc>
        <w:tc>
          <w:tcPr>
            <w:tcW w:w="850" w:type="dxa"/>
            <w:tcBorders>
              <w:top w:val="nil"/>
              <w:left w:val="nil"/>
              <w:bottom w:val="single" w:color="auto" w:sz="4" w:space="0"/>
              <w:right w:val="single" w:color="auto" w:sz="4" w:space="0"/>
            </w:tcBorders>
            <w:vAlign w:val="center"/>
          </w:tcPr>
          <w:p>
            <w:pPr>
              <w:spacing w:line="240" w:lineRule="exact"/>
              <w:jc w:val="center"/>
              <w:rPr>
                <w:color w:val="000000"/>
                <w:sz w:val="11"/>
                <w:szCs w:val="11"/>
              </w:rPr>
            </w:pPr>
            <w:r>
              <w:rPr>
                <w:rFonts w:hint="eastAsia"/>
                <w:color w:val="000000"/>
                <w:sz w:val="11"/>
                <w:szCs w:val="11"/>
              </w:rPr>
              <w:t>2019年</w:t>
            </w:r>
          </w:p>
          <w:p>
            <w:pPr>
              <w:spacing w:line="240" w:lineRule="exact"/>
              <w:jc w:val="center"/>
              <w:rPr>
                <w:rFonts w:ascii="宋体" w:hAnsi="宋体" w:cs="宋体"/>
                <w:kern w:val="0"/>
                <w:sz w:val="11"/>
                <w:szCs w:val="11"/>
              </w:rPr>
            </w:pPr>
            <w:r>
              <w:rPr>
                <w:rFonts w:hint="eastAsia"/>
                <w:color w:val="000000"/>
                <w:sz w:val="11"/>
                <w:szCs w:val="11"/>
              </w:rPr>
              <w:t>1－12月</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1"/>
                <w:szCs w:val="11"/>
                <w:lang w:val="en-US" w:eastAsia="zh-CN"/>
              </w:rPr>
            </w:pPr>
            <w:r>
              <w:rPr>
                <w:rFonts w:hint="eastAsia" w:eastAsia="宋体"/>
                <w:color w:val="000000"/>
                <w:sz w:val="11"/>
                <w:szCs w:val="11"/>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rPr>
            </w:pPr>
            <w:r>
              <w:rPr>
                <w:rFonts w:hint="eastAsia" w:ascii="宋体" w:hAnsi="宋体" w:eastAsia="宋体" w:cs="宋体"/>
                <w:kern w:val="0"/>
                <w:sz w:val="15"/>
                <w:szCs w:val="15"/>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eastAsia="宋体" w:cs="宋体"/>
                <w:kern w:val="0"/>
                <w:sz w:val="15"/>
                <w:szCs w:val="15"/>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both"/>
              <w:rPr>
                <w:rFonts w:hint="eastAsia" w:ascii="宋体" w:hAnsi="宋体" w:eastAsia="宋体" w:cs="宋体"/>
                <w:kern w:val="0"/>
                <w:sz w:val="15"/>
                <w:szCs w:val="15"/>
                <w:lang w:val="en-US" w:eastAsia="zh-CN"/>
              </w:rPr>
            </w:pPr>
            <w:r>
              <w:rPr>
                <w:rFonts w:hint="eastAsia" w:ascii="宋体" w:hAnsi="宋体" w:eastAsia="宋体" w:cs="宋体"/>
                <w:kern w:val="0"/>
                <w:sz w:val="15"/>
                <w:szCs w:val="15"/>
                <w:lang w:val="en-US" w:eastAsia="zh-CN"/>
              </w:rPr>
              <w:t xml:space="preserve">       无</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人大</w:t>
            </w: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w:t>
            </w:r>
            <w:r>
              <w:rPr>
                <w:rFonts w:hint="eastAsia" w:ascii="宋体" w:hAnsi="宋体" w:eastAsia="宋体" w:cs="宋体"/>
                <w:color w:val="000000"/>
                <w:kern w:val="0"/>
                <w:sz w:val="15"/>
                <w:szCs w:val="15"/>
              </w:rPr>
              <w:t>人大项目支出</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5"/>
                <w:szCs w:val="15"/>
              </w:rPr>
            </w:pPr>
            <w:r>
              <w:rPr>
                <w:rFonts w:hint="eastAsia" w:ascii="宋体" w:hAnsi="宋体" w:eastAsia="宋体"/>
                <w:color w:val="000000"/>
                <w:sz w:val="15"/>
                <w:szCs w:val="15"/>
              </w:rPr>
              <w:t>≥6万元</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5"/>
                <w:szCs w:val="15"/>
              </w:rPr>
            </w:pPr>
            <w:r>
              <w:rPr>
                <w:rFonts w:hint="eastAsia" w:ascii="宋体" w:hAnsi="宋体" w:eastAsia="宋体"/>
                <w:color w:val="000000"/>
                <w:sz w:val="15"/>
                <w:szCs w:val="15"/>
                <w:lang w:val="en-US" w:eastAsia="zh-CN"/>
              </w:rPr>
              <w:t>5.04</w:t>
            </w:r>
            <w:r>
              <w:rPr>
                <w:rFonts w:hint="eastAsia" w:ascii="宋体" w:hAnsi="宋体" w:eastAsia="宋体"/>
                <w:color w:val="000000"/>
                <w:sz w:val="15"/>
                <w:szCs w:val="15"/>
              </w:rPr>
              <w:t>万元</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5"/>
                <w:szCs w:val="15"/>
              </w:rPr>
            </w:pPr>
            <w:r>
              <w:rPr>
                <w:rFonts w:hint="eastAsia" w:ascii="宋体" w:hAnsi="宋体" w:eastAsia="宋体" w:cs="宋体"/>
                <w:kern w:val="0"/>
                <w:sz w:val="15"/>
                <w:szCs w:val="15"/>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eastAsia="宋体" w:cs="宋体"/>
                <w:kern w:val="0"/>
                <w:sz w:val="15"/>
                <w:szCs w:val="15"/>
                <w:lang w:val="en-US" w:eastAsia="zh-CN"/>
              </w:rPr>
              <w:t>8.4</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lang w:eastAsia="zh-CN"/>
              </w:rPr>
            </w:pPr>
            <w:r>
              <w:rPr>
                <w:rFonts w:hint="eastAsia" w:ascii="宋体" w:hAnsi="宋体" w:eastAsia="宋体" w:cs="宋体"/>
                <w:kern w:val="0"/>
                <w:sz w:val="15"/>
                <w:szCs w:val="15"/>
                <w:lang w:eastAsia="zh-CN"/>
              </w:rPr>
              <w:t>按实际支出支付</w:t>
            </w:r>
          </w:p>
        </w:tc>
      </w:tr>
      <w:tr>
        <w:tblPrEx>
          <w:tblCellMar>
            <w:top w:w="0" w:type="dxa"/>
            <w:left w:w="108" w:type="dxa"/>
            <w:bottom w:w="0" w:type="dxa"/>
            <w:right w:w="108" w:type="dxa"/>
          </w:tblCellMar>
        </w:tblPrEx>
        <w:trPr>
          <w:trHeight w:val="548"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效益指标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经济效益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w:t>
            </w:r>
            <w:r>
              <w:rPr>
                <w:rFonts w:hint="eastAsia" w:ascii="宋体" w:hAnsi="宋体" w:eastAsia="宋体" w:cs="宋体"/>
                <w:color w:val="000000"/>
                <w:kern w:val="0"/>
                <w:sz w:val="15"/>
                <w:szCs w:val="15"/>
              </w:rPr>
              <w:t>社会稳定.经济有序发展</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5"/>
                <w:szCs w:val="15"/>
              </w:rPr>
            </w:pPr>
            <w:r>
              <w:rPr>
                <w:rFonts w:hint="eastAsia" w:ascii="宋体" w:hAnsi="宋体" w:eastAsia="宋体"/>
                <w:color w:val="000000"/>
                <w:sz w:val="15"/>
                <w:szCs w:val="15"/>
              </w:rPr>
              <w:t>≥98%</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5"/>
                <w:szCs w:val="15"/>
              </w:rPr>
            </w:pPr>
            <w:r>
              <w:rPr>
                <w:rFonts w:hint="eastAsia" w:ascii="宋体" w:hAnsi="宋体" w:eastAsia="宋体"/>
                <w:color w:val="000000"/>
                <w:sz w:val="15"/>
                <w:szCs w:val="15"/>
              </w:rPr>
              <w:t>98%</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rPr>
            </w:pPr>
            <w:r>
              <w:rPr>
                <w:rFonts w:hint="eastAsia" w:ascii="宋体" w:hAnsi="宋体" w:eastAsia="宋体" w:cs="宋体"/>
                <w:kern w:val="0"/>
                <w:sz w:val="15"/>
                <w:szCs w:val="15"/>
                <w:lang w:val="en-US" w:eastAsia="zh-CN"/>
              </w:rPr>
              <w:t>7</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rPr>
            </w:pPr>
            <w:r>
              <w:rPr>
                <w:rFonts w:hint="eastAsia" w:ascii="宋体" w:hAnsi="宋体" w:eastAsia="宋体" w:cs="宋体"/>
                <w:kern w:val="0"/>
                <w:sz w:val="15"/>
                <w:szCs w:val="15"/>
                <w:lang w:val="en-US" w:eastAsia="zh-CN"/>
              </w:rPr>
              <w:t>7</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lang w:eastAsia="zh-CN"/>
              </w:rPr>
            </w:pPr>
            <w:r>
              <w:rPr>
                <w:rFonts w:hint="eastAsia" w:ascii="宋体" w:hAnsi="宋体" w:eastAsia="宋体" w:cs="宋体"/>
                <w:kern w:val="0"/>
                <w:sz w:val="15"/>
                <w:szCs w:val="15"/>
                <w:lang w:eastAsia="zh-CN"/>
              </w:rPr>
              <w:t>无</w:t>
            </w:r>
          </w:p>
        </w:tc>
      </w:tr>
      <w:tr>
        <w:tblPrEx>
          <w:tblCellMar>
            <w:top w:w="0" w:type="dxa"/>
            <w:left w:w="108" w:type="dxa"/>
            <w:bottom w:w="0" w:type="dxa"/>
            <w:right w:w="108" w:type="dxa"/>
          </w:tblCellMar>
        </w:tblPrEx>
        <w:trPr>
          <w:trHeight w:val="556"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社会效益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w:t>
            </w:r>
            <w:r>
              <w:rPr>
                <w:rFonts w:hint="eastAsia" w:ascii="宋体" w:hAnsi="宋体" w:eastAsia="宋体" w:cs="宋体"/>
                <w:color w:val="000000"/>
                <w:kern w:val="0"/>
                <w:sz w:val="15"/>
                <w:szCs w:val="15"/>
              </w:rPr>
              <w:t>人大代表参政议政能力</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5"/>
                <w:szCs w:val="15"/>
              </w:rPr>
            </w:pPr>
            <w:r>
              <w:rPr>
                <w:rFonts w:hint="eastAsia" w:ascii="宋体" w:hAnsi="宋体" w:eastAsia="宋体"/>
                <w:color w:val="000000"/>
                <w:sz w:val="15"/>
                <w:szCs w:val="15"/>
              </w:rPr>
              <w:t>稳步提高</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eastAsia="宋体" w:cs="宋体"/>
                <w:kern w:val="0"/>
                <w:sz w:val="15"/>
                <w:szCs w:val="15"/>
                <w:lang w:val="en-US" w:eastAsia="zh-CN"/>
              </w:rPr>
              <w:t>98%</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rPr>
            </w:pPr>
            <w:r>
              <w:rPr>
                <w:rFonts w:hint="eastAsia" w:ascii="宋体" w:hAnsi="宋体" w:eastAsia="宋体" w:cs="宋体"/>
                <w:kern w:val="0"/>
                <w:sz w:val="15"/>
                <w:szCs w:val="15"/>
                <w:lang w:val="en-US" w:eastAsia="zh-CN"/>
              </w:rPr>
              <w:t>8</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eastAsia="宋体" w:cs="宋体"/>
                <w:kern w:val="0"/>
                <w:sz w:val="15"/>
                <w:szCs w:val="15"/>
                <w:lang w:val="en-US" w:eastAsia="zh-CN"/>
              </w:rPr>
              <w:t>7.8</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5"/>
                <w:szCs w:val="15"/>
              </w:rPr>
            </w:pPr>
            <w:r>
              <w:rPr>
                <w:rFonts w:hint="eastAsia" w:ascii="宋体" w:hAnsi="宋体" w:eastAsia="宋体" w:cs="宋体"/>
                <w:kern w:val="0"/>
                <w:sz w:val="15"/>
                <w:szCs w:val="15"/>
                <w:lang w:eastAsia="zh-CN"/>
              </w:rPr>
              <w:t>进一步加强办公履职能力</w:t>
            </w:r>
          </w:p>
        </w:tc>
      </w:tr>
      <w:tr>
        <w:tblPrEx>
          <w:tblCellMar>
            <w:top w:w="0" w:type="dxa"/>
            <w:left w:w="108" w:type="dxa"/>
            <w:bottom w:w="0" w:type="dxa"/>
            <w:right w:w="108" w:type="dxa"/>
          </w:tblCellMar>
        </w:tblPrEx>
        <w:trPr>
          <w:trHeight w:val="593"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指标1：宣传党的政治理论及惠民政策等相关政策覆盖率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5"/>
                <w:szCs w:val="15"/>
              </w:rPr>
            </w:pPr>
            <w:r>
              <w:rPr>
                <w:rFonts w:hint="eastAsia" w:ascii="宋体" w:hAnsi="宋体" w:eastAsia="宋体"/>
                <w:color w:val="000000"/>
                <w:sz w:val="15"/>
                <w:szCs w:val="15"/>
              </w:rPr>
              <w:t>≥98%</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5"/>
                <w:szCs w:val="15"/>
              </w:rPr>
            </w:pPr>
            <w:r>
              <w:rPr>
                <w:rFonts w:hint="eastAsia" w:ascii="宋体" w:hAnsi="宋体" w:eastAsia="宋体"/>
                <w:color w:val="000000"/>
                <w:sz w:val="15"/>
                <w:szCs w:val="15"/>
              </w:rPr>
              <w:t>98%</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5"/>
                <w:szCs w:val="15"/>
              </w:rPr>
            </w:pPr>
            <w:r>
              <w:rPr>
                <w:rFonts w:hint="eastAsia" w:ascii="宋体" w:hAnsi="宋体" w:eastAsia="宋体" w:cs="宋体"/>
                <w:kern w:val="0"/>
                <w:sz w:val="15"/>
                <w:szCs w:val="15"/>
                <w:lang w:val="en-US" w:eastAsia="zh-CN"/>
              </w:rPr>
              <w:t>8</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5"/>
                <w:szCs w:val="15"/>
              </w:rPr>
            </w:pPr>
            <w:r>
              <w:rPr>
                <w:rFonts w:hint="eastAsia" w:ascii="宋体" w:hAnsi="宋体" w:eastAsia="宋体" w:cs="宋体"/>
                <w:kern w:val="0"/>
                <w:sz w:val="15"/>
                <w:szCs w:val="15"/>
                <w:lang w:val="en-US" w:eastAsia="zh-CN"/>
              </w:rPr>
              <w:t>8</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lang w:eastAsia="zh-CN"/>
              </w:rPr>
            </w:pPr>
            <w:r>
              <w:rPr>
                <w:rFonts w:hint="eastAsia" w:ascii="宋体" w:hAnsi="宋体" w:eastAsia="宋体" w:cs="宋体"/>
                <w:kern w:val="0"/>
                <w:sz w:val="15"/>
                <w:szCs w:val="15"/>
                <w:lang w:eastAsia="zh-CN"/>
              </w:rPr>
              <w:t>无</w:t>
            </w:r>
          </w:p>
        </w:tc>
      </w:tr>
      <w:tr>
        <w:tblPrEx>
          <w:tblCellMar>
            <w:top w:w="0" w:type="dxa"/>
            <w:left w:w="108" w:type="dxa"/>
            <w:bottom w:w="0" w:type="dxa"/>
            <w:right w:w="108" w:type="dxa"/>
          </w:tblCellMar>
        </w:tblPrEx>
        <w:trPr>
          <w:trHeight w:val="921"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00" w:lineRule="exact"/>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指标2：保障改善民生、维护社会稳定、强化基层基础通过代表视察，调研写出对县委政府有建设性的调研报告</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5"/>
                <w:szCs w:val="15"/>
              </w:rPr>
            </w:pPr>
            <w:r>
              <w:rPr>
                <w:rFonts w:hint="eastAsia" w:ascii="宋体" w:hAnsi="宋体" w:eastAsia="宋体"/>
                <w:color w:val="000000"/>
                <w:sz w:val="15"/>
                <w:szCs w:val="15"/>
              </w:rPr>
              <w:t>≥98%</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5"/>
                <w:szCs w:val="15"/>
              </w:rPr>
            </w:pPr>
            <w:r>
              <w:rPr>
                <w:rFonts w:hint="eastAsia" w:ascii="宋体" w:hAnsi="宋体" w:eastAsia="宋体"/>
                <w:color w:val="000000"/>
                <w:sz w:val="15"/>
                <w:szCs w:val="15"/>
              </w:rPr>
              <w:t>98%</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5"/>
                <w:szCs w:val="15"/>
              </w:rPr>
            </w:pPr>
            <w:r>
              <w:rPr>
                <w:rFonts w:hint="eastAsia" w:ascii="宋体" w:hAnsi="宋体" w:eastAsia="宋体" w:cs="宋体"/>
                <w:kern w:val="0"/>
                <w:sz w:val="15"/>
                <w:szCs w:val="15"/>
                <w:lang w:val="en-US" w:eastAsia="zh-CN"/>
              </w:rPr>
              <w:t>7</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lang w:val="en-US" w:eastAsia="zh-CN"/>
              </w:rPr>
            </w:pPr>
            <w:r>
              <w:rPr>
                <w:rFonts w:hint="eastAsia" w:ascii="宋体" w:hAnsi="宋体" w:eastAsia="宋体" w:cs="宋体"/>
                <w:kern w:val="0"/>
                <w:sz w:val="15"/>
                <w:szCs w:val="15"/>
                <w:lang w:val="en-US" w:eastAsia="zh-CN"/>
              </w:rPr>
              <w:t>7</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lang w:eastAsia="zh-CN"/>
              </w:rPr>
            </w:pPr>
            <w:r>
              <w:rPr>
                <w:rFonts w:hint="eastAsia" w:ascii="宋体" w:hAnsi="宋体" w:eastAsia="宋体" w:cs="宋体"/>
                <w:kern w:val="0"/>
                <w:sz w:val="15"/>
                <w:szCs w:val="15"/>
                <w:lang w:eastAsia="zh-CN"/>
              </w:rPr>
              <w:t>无</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满意度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指标1：人大代表满意度</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olor w:val="000000"/>
                <w:sz w:val="15"/>
                <w:szCs w:val="15"/>
              </w:rPr>
              <w:t>≥96%</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olor w:val="000000"/>
                <w:sz w:val="15"/>
                <w:szCs w:val="15"/>
              </w:rPr>
              <w:t>96%</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5"/>
                <w:szCs w:val="15"/>
              </w:rPr>
            </w:pPr>
            <w:r>
              <w:rPr>
                <w:rFonts w:hint="eastAsia" w:ascii="宋体" w:hAnsi="宋体" w:eastAsia="宋体" w:cs="宋体"/>
                <w:kern w:val="0"/>
                <w:sz w:val="15"/>
                <w:szCs w:val="15"/>
                <w:lang w:val="en-US" w:eastAsia="zh-CN"/>
              </w:rPr>
              <w:t>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lang w:val="en-US" w:eastAsia="zh-CN"/>
              </w:rPr>
            </w:pPr>
            <w:r>
              <w:rPr>
                <w:rFonts w:hint="eastAsia" w:ascii="宋体" w:hAnsi="宋体" w:eastAsia="宋体" w:cs="宋体"/>
                <w:kern w:val="0"/>
                <w:sz w:val="15"/>
                <w:szCs w:val="15"/>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无</w:t>
            </w:r>
          </w:p>
        </w:tc>
      </w:tr>
      <w:tr>
        <w:tblPrEx>
          <w:tblCellMar>
            <w:top w:w="0" w:type="dxa"/>
            <w:left w:w="108" w:type="dxa"/>
            <w:bottom w:w="0" w:type="dxa"/>
            <w:right w:w="108" w:type="dxa"/>
          </w:tblCellMar>
        </w:tblPrEx>
        <w:trPr>
          <w:trHeight w:val="414"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指标2：群众满意度</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olor w:val="000000"/>
                <w:sz w:val="15"/>
                <w:szCs w:val="15"/>
              </w:rPr>
              <w:t>≥97%</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olor w:val="000000"/>
                <w:sz w:val="15"/>
                <w:szCs w:val="15"/>
              </w:rPr>
              <w:t>97%</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5"/>
                <w:szCs w:val="15"/>
              </w:rPr>
            </w:pPr>
            <w:r>
              <w:rPr>
                <w:rFonts w:hint="eastAsia" w:ascii="宋体" w:hAnsi="宋体" w:eastAsia="宋体" w:cs="宋体"/>
                <w:kern w:val="0"/>
                <w:sz w:val="15"/>
                <w:szCs w:val="15"/>
                <w:lang w:val="en-US" w:eastAsia="zh-CN"/>
              </w:rPr>
              <w:t>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5"/>
                <w:szCs w:val="15"/>
              </w:rPr>
            </w:pPr>
            <w:r>
              <w:rPr>
                <w:rFonts w:hint="eastAsia" w:ascii="宋体" w:hAnsi="宋体" w:eastAsia="宋体" w:cs="宋体"/>
                <w:kern w:val="0"/>
                <w:sz w:val="15"/>
                <w:szCs w:val="15"/>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无</w:t>
            </w:r>
          </w:p>
        </w:tc>
      </w:tr>
      <w:tr>
        <w:tblPrEx>
          <w:tblCellMar>
            <w:top w:w="0" w:type="dxa"/>
            <w:left w:w="108" w:type="dxa"/>
            <w:bottom w:w="0" w:type="dxa"/>
            <w:right w:w="108" w:type="dxa"/>
          </w:tblCellMar>
        </w:tblPrEx>
        <w:trPr>
          <w:trHeight w:val="437"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5"/>
                <w:szCs w:val="15"/>
              </w:rPr>
            </w:pPr>
            <w:r>
              <w:rPr>
                <w:rFonts w:hint="eastAsia" w:ascii="宋体" w:hAnsi="宋体" w:eastAsia="宋体" w:cs="宋体"/>
                <w:kern w:val="0"/>
                <w:sz w:val="15"/>
                <w:szCs w:val="15"/>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3"/>
                <w:szCs w:val="13"/>
                <w:lang w:val="en-US" w:eastAsia="zh-CN"/>
              </w:rPr>
            </w:pPr>
            <w:r>
              <w:rPr>
                <w:rFonts w:hint="eastAsia" w:ascii="宋体" w:hAnsi="宋体" w:eastAsia="宋体" w:cs="宋体"/>
                <w:color w:val="000000"/>
                <w:kern w:val="0"/>
                <w:sz w:val="13"/>
                <w:szCs w:val="13"/>
                <w:lang w:val="en-US" w:eastAsia="zh-CN"/>
              </w:rPr>
              <w:t>96.6</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3"/>
                <w:szCs w:val="13"/>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560" w:lineRule="exact"/>
        <w:jc w:val="center"/>
        <w:rPr>
          <w:rFonts w:ascii="Arial" w:hAnsi="Arial" w:eastAsia="宋体" w:cs="Arial"/>
          <w:b/>
          <w:bCs/>
          <w:sz w:val="36"/>
          <w:szCs w:val="36"/>
        </w:rPr>
      </w:pPr>
      <w:bookmarkStart w:id="0" w:name="_GoBack"/>
      <w:bookmarkEnd w:id="0"/>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spacing w:line="560" w:lineRule="exact"/>
        <w:ind w:firstLine="600" w:firstLineChars="200"/>
        <w:rPr>
          <w:rFonts w:ascii="仿宋_GB2312"/>
        </w:rPr>
      </w:pPr>
    </w:p>
    <w:p>
      <w:pPr>
        <w:spacing w:line="560" w:lineRule="exact"/>
        <w:ind w:firstLine="600" w:firstLineChars="200"/>
        <w:rPr>
          <w:rFonts w:ascii="黑体" w:hAnsi="黑体" w:eastAsia="黑体"/>
        </w:rPr>
      </w:pPr>
      <w:r>
        <w:rPr>
          <w:rFonts w:hint="eastAsia" w:ascii="黑体" w:hAnsi="黑体" w:eastAsia="黑体"/>
        </w:rPr>
        <w:t>一、基本情况</w:t>
      </w:r>
    </w:p>
    <w:p>
      <w:pPr>
        <w:spacing w:line="560" w:lineRule="exact"/>
        <w:ind w:firstLine="600" w:firstLineChars="200"/>
        <w:rPr>
          <w:rFonts w:ascii="仿宋_GB2312"/>
        </w:rPr>
      </w:pPr>
      <w:r>
        <w:rPr>
          <w:rFonts w:hint="eastAsia" w:ascii="仿宋_GB2312"/>
        </w:rPr>
        <w:t>（一）主要概况。</w:t>
      </w:r>
    </w:p>
    <w:p>
      <w:pPr>
        <w:autoSpaceDE w:val="0"/>
        <w:autoSpaceDN w:val="0"/>
        <w:adjustRightInd w:val="0"/>
        <w:spacing w:line="560" w:lineRule="exact"/>
        <w:ind w:firstLine="600" w:firstLineChars="200"/>
        <w:rPr>
          <w:rFonts w:ascii="仿宋_GB2312"/>
        </w:rPr>
      </w:pPr>
      <w:r>
        <w:rPr>
          <w:rFonts w:ascii="仿宋_GB2312"/>
        </w:rPr>
        <w:t>和静县人大主要职能是：</w:t>
      </w:r>
      <w:r>
        <w:rPr>
          <w:rFonts w:hint="eastAsia" w:ascii="仿宋_GB2312"/>
        </w:rPr>
        <w:t>(一)对全国、省、州人大下发的法律、法规草案，组织征求意见，并整理修改意见上报。(二)对提交县人代会审议的本辖区国民经济和社会发展计划草案、预算草案进行审查并提出报告；对计划、预算执行情况进行初审并对计划、预算的部分变更提出审查报告。(三)对县人大常委会讨论、决定的本区政治、经济、教育、科学、文化、卫生、民政、民族工作等重大事项进行调查研究并提出初步意见。(四)对宪法、法律、行政法规和本县制定的法规的执行情况组织视察和检查。(五)对本县经济和社会生活中的重大问题及人民群众普遍关心的“热点”问题组织调查研究、视察和检查。(六)组织人大代表评议县“一府两院”的工作。(七)督促县人代会期间代表议案、意见和建议的办理工作。(八)办理县人大常委会任免范围内的干部任免手续。(九)组织县人大代表的选举和市人大代表的选举。(十)联系县人大代表，组织代表视察、检查和接访选民活动，督促代表视察、检查和接访活动中提出意见、建议的办理工作。(十一)联系省、州、县人大代表，协助开展视察活动。(十二)负责县人代会、县人大常委会、主任会议等会议的组织和服务工作。(十三)负责县人大常委会文件、报告的起草、印发，常委会公报、人大工作简报等的编辑印发和人大工作的宣传报道。(十四)受理人民群众的来信来访。</w:t>
      </w:r>
    </w:p>
    <w:p>
      <w:pPr>
        <w:autoSpaceDE w:val="0"/>
        <w:autoSpaceDN w:val="0"/>
        <w:adjustRightInd w:val="0"/>
        <w:spacing w:line="560" w:lineRule="exact"/>
        <w:ind w:firstLine="600" w:firstLineChars="200"/>
        <w:rPr>
          <w:rFonts w:ascii="仿宋_GB2312"/>
        </w:rPr>
      </w:pPr>
      <w:r>
        <w:rPr>
          <w:rFonts w:ascii="仿宋_GB2312"/>
        </w:rPr>
        <w:t>201</w:t>
      </w:r>
      <w:r>
        <w:rPr>
          <w:rFonts w:hint="eastAsia" w:ascii="仿宋_GB2312"/>
        </w:rPr>
        <w:t>9</w:t>
      </w:r>
      <w:r>
        <w:rPr>
          <w:rFonts w:ascii="仿宋_GB2312"/>
        </w:rPr>
        <w:t>年</w:t>
      </w:r>
      <w:r>
        <w:rPr>
          <w:rFonts w:hint="eastAsia" w:ascii="仿宋_GB2312"/>
        </w:rPr>
        <w:t>县人大办公室</w:t>
      </w:r>
      <w:r>
        <w:rPr>
          <w:rFonts w:ascii="仿宋_GB2312"/>
        </w:rPr>
        <w:t>狠抓重点工作，较好的完成了各项目标任务，取得了较好的社会效益。根据</w:t>
      </w:r>
      <w:r>
        <w:rPr>
          <w:rFonts w:hint="eastAsia" w:ascii="仿宋_GB2312"/>
        </w:rPr>
        <w:t>县人大</w:t>
      </w:r>
      <w:r>
        <w:rPr>
          <w:rFonts w:ascii="仿宋_GB2312"/>
        </w:rPr>
        <w:t>的工作职能和职责、按照项目资金的使用内容和用途，本单位项目资金支出主要有</w:t>
      </w:r>
      <w:r>
        <w:rPr>
          <w:rFonts w:hint="eastAsia" w:ascii="仿宋_GB2312"/>
        </w:rPr>
        <w:t>三</w:t>
      </w:r>
      <w:r>
        <w:rPr>
          <w:rFonts w:ascii="仿宋_GB2312"/>
        </w:rPr>
        <w:t>项：1、专委会工作经费；2、专项调研</w:t>
      </w:r>
      <w:r>
        <w:rPr>
          <w:rFonts w:hint="eastAsia" w:ascii="仿宋_GB2312"/>
        </w:rPr>
        <w:t>、代表</w:t>
      </w:r>
      <w:r>
        <w:rPr>
          <w:rFonts w:ascii="仿宋_GB2312"/>
        </w:rPr>
        <w:t>视察培训、民主评议工作经费；3、</w:t>
      </w:r>
      <w:r>
        <w:rPr>
          <w:rFonts w:hint="eastAsia" w:ascii="仿宋_GB2312"/>
        </w:rPr>
        <w:t>办公室各项经费</w:t>
      </w:r>
      <w:r>
        <w:rPr>
          <w:rFonts w:ascii="仿宋_GB2312"/>
        </w:rPr>
        <w:t>。这</w:t>
      </w:r>
      <w:r>
        <w:rPr>
          <w:rFonts w:hint="eastAsia" w:ascii="仿宋_GB2312"/>
        </w:rPr>
        <w:t>一</w:t>
      </w:r>
      <w:r>
        <w:rPr>
          <w:rFonts w:ascii="仿宋_GB2312"/>
        </w:rPr>
        <w:t>个项目为持续性、常年性项目，资金来源为年初</w:t>
      </w:r>
      <w:r>
        <w:rPr>
          <w:rFonts w:hint="eastAsia" w:ascii="仿宋_GB2312"/>
        </w:rPr>
        <w:t>自治区人大</w:t>
      </w:r>
      <w:r>
        <w:rPr>
          <w:rFonts w:ascii="仿宋_GB2312"/>
        </w:rPr>
        <w:t>预算。通过这些专项工作的开展，保证</w:t>
      </w:r>
      <w:r>
        <w:rPr>
          <w:rFonts w:hint="eastAsia" w:ascii="仿宋_GB2312"/>
        </w:rPr>
        <w:t>县人大</w:t>
      </w:r>
      <w:r>
        <w:rPr>
          <w:rFonts w:ascii="仿宋_GB2312"/>
        </w:rPr>
        <w:t>工作</w:t>
      </w:r>
      <w:r>
        <w:rPr>
          <w:rFonts w:hint="eastAsia" w:ascii="仿宋_GB2312"/>
        </w:rPr>
        <w:t>有序</w:t>
      </w:r>
      <w:r>
        <w:rPr>
          <w:rFonts w:ascii="仿宋_GB2312"/>
        </w:rPr>
        <w:t>的开展。</w:t>
      </w:r>
    </w:p>
    <w:p>
      <w:pPr>
        <w:spacing w:line="560" w:lineRule="exact"/>
        <w:ind w:firstLine="600" w:firstLineChars="200"/>
        <w:rPr>
          <w:rFonts w:ascii="黑体" w:hAnsi="黑体" w:eastAsia="黑体"/>
        </w:rPr>
      </w:pPr>
      <w:r>
        <w:rPr>
          <w:rFonts w:hint="eastAsia" w:ascii="黑体" w:hAnsi="黑体" w:eastAsia="黑体"/>
        </w:rPr>
        <w:t>二、绩效评价工作开展情况</w:t>
      </w:r>
    </w:p>
    <w:p>
      <w:pPr>
        <w:spacing w:line="560" w:lineRule="exact"/>
        <w:ind w:firstLine="600" w:firstLineChars="200"/>
        <w:rPr>
          <w:rFonts w:ascii="仿宋_GB2312"/>
        </w:rPr>
      </w:pPr>
      <w:r>
        <w:rPr>
          <w:rFonts w:hint="eastAsia" w:ascii="仿宋_GB2312"/>
        </w:rPr>
        <w:t>（一）通过对2019年和静县人大的预算配置、预算管理、资产管理、职责履行、履职效益等内容的绩效考评，提高财政资金的使用效率，为财政部门预算管理提供决策依据。</w:t>
      </w:r>
    </w:p>
    <w:p>
      <w:pPr>
        <w:tabs>
          <w:tab w:val="left" w:pos="570"/>
          <w:tab w:val="left" w:pos="9420"/>
          <w:tab w:val="left" w:pos="9600"/>
          <w:tab w:val="left" w:pos="9780"/>
        </w:tabs>
        <w:spacing w:line="560" w:lineRule="exact"/>
        <w:ind w:firstLine="600" w:firstLineChars="200"/>
        <w:rPr>
          <w:rFonts w:ascii="仿宋_GB2312"/>
        </w:rPr>
      </w:pPr>
      <w:r>
        <w:rPr>
          <w:rFonts w:hint="eastAsia" w:ascii="仿宋_GB2312"/>
        </w:rPr>
        <w:t>（二）1、单位项目支出绩效评价原则：遵循客观公正，操作简便高效，尊重客观实际，实事求是的原则。</w:t>
      </w:r>
    </w:p>
    <w:p>
      <w:pPr>
        <w:tabs>
          <w:tab w:val="left" w:pos="570"/>
          <w:tab w:val="left" w:pos="9420"/>
          <w:tab w:val="left" w:pos="9600"/>
          <w:tab w:val="left" w:pos="9780"/>
        </w:tabs>
        <w:spacing w:line="560" w:lineRule="exact"/>
        <w:ind w:firstLine="900" w:firstLineChars="300"/>
        <w:rPr>
          <w:rFonts w:ascii="仿宋_GB2312"/>
        </w:rPr>
      </w:pPr>
      <w:r>
        <w:rPr>
          <w:rFonts w:hint="eastAsia" w:ascii="仿宋_GB2312"/>
        </w:rPr>
        <w:t>2、项目支出绩效评价体系：指标体系包括共性指标和个性指标两部分，主要参照财政部门制定的《部门项目支出绩效评价指标体系》的相关内容，根据单位具体情况对个性指标进行了调整细化。</w:t>
      </w:r>
    </w:p>
    <w:p>
      <w:pPr>
        <w:tabs>
          <w:tab w:val="left" w:pos="570"/>
          <w:tab w:val="left" w:pos="9420"/>
          <w:tab w:val="left" w:pos="9600"/>
          <w:tab w:val="left" w:pos="9780"/>
        </w:tabs>
        <w:spacing w:line="560" w:lineRule="exact"/>
        <w:ind w:firstLine="900" w:firstLineChars="300"/>
        <w:rPr>
          <w:rFonts w:ascii="仿宋_GB2312"/>
        </w:rPr>
      </w:pPr>
      <w:r>
        <w:rPr>
          <w:rFonts w:hint="eastAsia" w:ascii="仿宋_GB2312"/>
        </w:rPr>
        <w:t>3、整体支出绩效评价方法：主要采用因素分析法、比较法等方法。</w:t>
      </w:r>
    </w:p>
    <w:p>
      <w:pPr>
        <w:spacing w:line="560" w:lineRule="exact"/>
        <w:ind w:firstLine="600" w:firstLineChars="200"/>
        <w:rPr>
          <w:rFonts w:ascii="仿宋_GB2312"/>
        </w:rPr>
      </w:pPr>
      <w:r>
        <w:rPr>
          <w:rFonts w:hint="eastAsia" w:ascii="仿宋_GB2312"/>
        </w:rPr>
        <w:t>（三）按照项目绩效自评工作要求，县人大及时成立了财政预算项目绩效管理工作领导小组，核查2019年财政预算批复执行及单位项目绩效支出情况，对内设机构，根据部门职能和年初制定的项目绩效考核目标进行实地项目绩效考评。对考评过程中收集的资料进行归纳，汇总分析，依据设定的单位项目支出绩效评价指标体系进行评分，形成综合性书面报告。</w:t>
      </w:r>
    </w:p>
    <w:p>
      <w:pPr>
        <w:spacing w:line="560" w:lineRule="exact"/>
        <w:ind w:firstLine="600" w:firstLineChars="200"/>
      </w:pPr>
      <w:r>
        <w:rPr>
          <w:rFonts w:hint="eastAsia" w:ascii="黑体" w:hAnsi="黑体" w:eastAsia="黑体"/>
        </w:rPr>
        <w:t>三、</w:t>
      </w:r>
      <w:r>
        <w:t>我单位</w:t>
      </w:r>
      <w:r>
        <w:rPr>
          <w:rFonts w:hint="eastAsia"/>
        </w:rPr>
        <w:t>1</w:t>
      </w:r>
      <w:r>
        <w:t>个专项工作均已于201</w:t>
      </w:r>
      <w:r>
        <w:rPr>
          <w:rFonts w:hint="eastAsia"/>
        </w:rPr>
        <w:t>9</w:t>
      </w:r>
      <w:r>
        <w:t>年完成，完成了年度</w:t>
      </w:r>
      <w:r>
        <w:rPr>
          <w:rFonts w:hint="eastAsia"/>
        </w:rPr>
        <w:t>项目</w:t>
      </w:r>
      <w:r>
        <w:t>绩效目标。所有项目的日常管理工作均按照</w:t>
      </w:r>
      <w:r>
        <w:rPr>
          <w:rFonts w:hint="eastAsia"/>
        </w:rPr>
        <w:t>县人大</w:t>
      </w:r>
      <w:r>
        <w:t>相关管理制度执行，建立了工作有计划、实施有方案、日常有监督的管理机制，工作取得了较好的成效，效能得到了提高、获得了社会公众的好评。</w:t>
      </w:r>
    </w:p>
    <w:p>
      <w:pPr>
        <w:spacing w:line="560" w:lineRule="exact"/>
        <w:ind w:firstLine="600" w:firstLineChars="200"/>
        <w:rPr>
          <w:rFonts w:ascii="黑体" w:hAnsi="黑体" w:eastAsia="黑体"/>
        </w:rPr>
      </w:pPr>
      <w:r>
        <w:rPr>
          <w:rFonts w:hint="eastAsia" w:eastAsia="黑体"/>
        </w:rPr>
        <w:t>四</w:t>
      </w:r>
      <w:r>
        <w:rPr>
          <w:rFonts w:hint="eastAsia" w:ascii="黑体" w:hAnsi="黑体" w:eastAsia="黑体"/>
        </w:rPr>
        <w:t>、绩效评价指标分析</w:t>
      </w:r>
    </w:p>
    <w:p>
      <w:pPr>
        <w:spacing w:line="560" w:lineRule="exact"/>
        <w:ind w:firstLine="600" w:firstLineChars="200"/>
      </w:pPr>
      <w:r>
        <w:rPr>
          <w:rFonts w:hint="eastAsia"/>
        </w:rPr>
        <w:t>县人大</w:t>
      </w:r>
      <w:r>
        <w:t>201</w:t>
      </w:r>
      <w:r>
        <w:rPr>
          <w:rFonts w:hint="eastAsia"/>
        </w:rPr>
        <w:t>9</w:t>
      </w:r>
      <w:r>
        <w:t>年</w:t>
      </w:r>
      <w:r>
        <w:rPr>
          <w:rFonts w:hint="eastAsia"/>
        </w:rPr>
        <w:t>1</w:t>
      </w:r>
      <w:r>
        <w:t>个专项，从项目立项、资金落实、业务管理到财务管理、项目产出、项目效益，</w:t>
      </w:r>
      <w:r>
        <w:rPr>
          <w:rFonts w:hint="eastAsia"/>
        </w:rPr>
        <w:t>3</w:t>
      </w:r>
      <w:r>
        <w:t>项二级指标得分都很高，总分达到</w:t>
      </w:r>
      <w:r>
        <w:rPr>
          <w:rFonts w:hint="eastAsia"/>
        </w:rPr>
        <w:t>116</w:t>
      </w:r>
      <w:r>
        <w:t>分。</w:t>
      </w:r>
    </w:p>
    <w:p>
      <w:pPr>
        <w:spacing w:line="560" w:lineRule="exact"/>
        <w:ind w:firstLine="600" w:firstLineChars="200"/>
      </w:pPr>
      <w:r>
        <w:rPr>
          <w:rFonts w:hint="eastAsia"/>
        </w:rPr>
        <w:t>1、项目立项（20分）：项目的申请、设立过程符合相关要求，设定的项目绩效目标合理，绩效指标细化、明确、清晰、可衡量。</w:t>
      </w:r>
    </w:p>
    <w:p>
      <w:pPr>
        <w:spacing w:line="560" w:lineRule="exact"/>
        <w:ind w:firstLine="600" w:firstLineChars="200"/>
      </w:pPr>
      <w:r>
        <w:rPr>
          <w:rFonts w:hint="eastAsia"/>
        </w:rPr>
        <w:t>2、资金落实（20分）：资金落实到位情况良好</w:t>
      </w:r>
    </w:p>
    <w:p>
      <w:pPr>
        <w:spacing w:line="560" w:lineRule="exact"/>
        <w:ind w:firstLine="600" w:firstLineChars="200"/>
      </w:pPr>
      <w:r>
        <w:rPr>
          <w:rFonts w:hint="eastAsia"/>
        </w:rPr>
        <w:t>3、业务管理（18分）：管理制度健全、制度执行有效、项目质量可控。</w:t>
      </w:r>
    </w:p>
    <w:p>
      <w:pPr>
        <w:spacing w:line="560" w:lineRule="exact"/>
        <w:ind w:firstLine="600" w:firstLineChars="200"/>
      </w:pPr>
      <w:r>
        <w:rPr>
          <w:rFonts w:hint="eastAsia"/>
        </w:rPr>
        <w:t>4、财务管理（20分）：管理制度健全、资金使用合规、财务监控有效。</w:t>
      </w:r>
    </w:p>
    <w:p>
      <w:pPr>
        <w:spacing w:line="560" w:lineRule="exact"/>
        <w:ind w:firstLine="600" w:firstLineChars="200"/>
      </w:pPr>
      <w:r>
        <w:rPr>
          <w:rFonts w:hint="eastAsia"/>
        </w:rPr>
        <w:t>5、项目产出（19分）：项目完成率100%、完成及时率100%、质量达标率98%、成本节约率98%。</w:t>
      </w:r>
    </w:p>
    <w:p>
      <w:pPr>
        <w:spacing w:line="560" w:lineRule="exact"/>
        <w:ind w:firstLine="600" w:firstLineChars="200"/>
      </w:pPr>
      <w:r>
        <w:rPr>
          <w:rFonts w:hint="eastAsia"/>
        </w:rPr>
        <w:t>6、项目效益（19分）：项目实施对经济效益、社会效益、生态效益都较好，社会公众的满意度及可持续影响力也较好。</w:t>
      </w:r>
    </w:p>
    <w:p>
      <w:pPr>
        <w:spacing w:line="560" w:lineRule="exact"/>
        <w:ind w:firstLine="600" w:firstLineChars="200"/>
      </w:pPr>
      <w:r>
        <w:rPr>
          <w:rFonts w:hint="eastAsia" w:ascii="黑体" w:hAnsi="黑体" w:eastAsia="黑体"/>
        </w:rPr>
        <w:t>五、</w:t>
      </w:r>
      <w:r>
        <w:t>做好项目</w:t>
      </w:r>
      <w:r>
        <w:rPr>
          <w:rFonts w:hint="eastAsia"/>
        </w:rPr>
        <w:t>支出绩效</w:t>
      </w:r>
      <w:r>
        <w:t>实施的跟踪检查工作。定期不定期地对项目实施情况和经费使用情况进行跟踪检查，对能实现预期</w:t>
      </w:r>
      <w:r>
        <w:rPr>
          <w:rFonts w:hint="eastAsia"/>
        </w:rPr>
        <w:t>项目</w:t>
      </w:r>
      <w:r>
        <w:t>绩效目标的项目予以充分肯定，对进展缓慢，预期绩效目标较差的项目，及时进行协调和提出整改措施，确保项目</w:t>
      </w:r>
      <w:r>
        <w:rPr>
          <w:rFonts w:hint="eastAsia"/>
        </w:rPr>
        <w:t>支出绩效</w:t>
      </w:r>
      <w:r>
        <w:t>实施工作正常运行，达到预期绩效目标。</w:t>
      </w:r>
    </w:p>
    <w:p>
      <w:pPr>
        <w:spacing w:line="560" w:lineRule="exact"/>
        <w:ind w:firstLine="600" w:firstLineChars="200"/>
      </w:pPr>
      <w:r>
        <w:rPr>
          <w:rFonts w:hint="eastAsia" w:ascii="方正黑体_GBK" w:hAnsi="方正黑体_GBK" w:eastAsia="方正黑体_GBK" w:cs="方正黑体_GBK"/>
        </w:rPr>
        <w:t>六、</w:t>
      </w:r>
      <w:r>
        <w:t>1、进一步健全和完善财务管理制度及内部控制制度，创新管理手段，用新思路、新方法，改进完善财务管理方法。</w:t>
      </w:r>
    </w:p>
    <w:p>
      <w:pPr>
        <w:spacing w:line="560" w:lineRule="exact"/>
        <w:ind w:firstLine="600" w:firstLineChars="200"/>
      </w:pPr>
      <w:r>
        <w:t>2、按照财政支出绩效管理的要求，建立科学的财政资金效益考评制度体系，不断提高财政资金使用管理的水平和效率。</w:t>
      </w:r>
    </w:p>
    <w:p>
      <w:pPr>
        <w:spacing w:line="560" w:lineRule="exact"/>
        <w:ind w:firstLine="600" w:firstLineChars="200"/>
        <w:rPr>
          <w:rFonts w:ascii="黑体" w:hAnsi="黑体" w:eastAsia="黑体"/>
        </w:rPr>
      </w:pPr>
      <w:r>
        <w:rPr>
          <w:rFonts w:hint="eastAsia" w:ascii="黑体" w:hAnsi="黑体" w:eastAsia="黑体"/>
        </w:rPr>
        <w:t>七、其他需要说明的问题</w:t>
      </w:r>
    </w:p>
    <w:p>
      <w:pPr>
        <w:spacing w:line="560" w:lineRule="exact"/>
        <w:ind w:firstLine="600" w:firstLineChars="200"/>
        <w:rPr>
          <w:rFonts w:ascii="黑体" w:hAnsi="黑体" w:eastAsia="黑体"/>
        </w:rPr>
      </w:pPr>
      <w:r>
        <w:rPr>
          <w:rFonts w:hint="eastAsia"/>
        </w:rPr>
        <w:t>无</w:t>
      </w:r>
      <w:r>
        <w:t>。</w:t>
      </w: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方正黑体_GBK">
    <w:altName w:val="微软雅黑"/>
    <w:panose1 w:val="00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35AC9"/>
    <w:rsid w:val="0004661E"/>
    <w:rsid w:val="000572D0"/>
    <w:rsid w:val="000B4E42"/>
    <w:rsid w:val="00102F2F"/>
    <w:rsid w:val="001A637B"/>
    <w:rsid w:val="002F26D5"/>
    <w:rsid w:val="00315A35"/>
    <w:rsid w:val="00320B66"/>
    <w:rsid w:val="0032147E"/>
    <w:rsid w:val="00323AB8"/>
    <w:rsid w:val="003457C7"/>
    <w:rsid w:val="00397D07"/>
    <w:rsid w:val="003B7C1D"/>
    <w:rsid w:val="003E461C"/>
    <w:rsid w:val="0041590E"/>
    <w:rsid w:val="0043448B"/>
    <w:rsid w:val="004B411D"/>
    <w:rsid w:val="00535AC9"/>
    <w:rsid w:val="005413AA"/>
    <w:rsid w:val="00572277"/>
    <w:rsid w:val="00581A9F"/>
    <w:rsid w:val="007E1E38"/>
    <w:rsid w:val="0080585E"/>
    <w:rsid w:val="00851ECE"/>
    <w:rsid w:val="00890A00"/>
    <w:rsid w:val="008A75AE"/>
    <w:rsid w:val="00900E62"/>
    <w:rsid w:val="0096604A"/>
    <w:rsid w:val="009874A6"/>
    <w:rsid w:val="009B7A9B"/>
    <w:rsid w:val="00A24300"/>
    <w:rsid w:val="00A3795F"/>
    <w:rsid w:val="00AA178A"/>
    <w:rsid w:val="00B61117"/>
    <w:rsid w:val="00D16379"/>
    <w:rsid w:val="00D219FA"/>
    <w:rsid w:val="00DF25FC"/>
    <w:rsid w:val="00E1735B"/>
    <w:rsid w:val="00E214F8"/>
    <w:rsid w:val="00E3118B"/>
    <w:rsid w:val="00ED1B27"/>
    <w:rsid w:val="00FC7F01"/>
    <w:rsid w:val="115F6FBB"/>
    <w:rsid w:val="125C39EF"/>
    <w:rsid w:val="15600E69"/>
    <w:rsid w:val="18494747"/>
    <w:rsid w:val="22081843"/>
    <w:rsid w:val="29EC02F4"/>
    <w:rsid w:val="37A542A7"/>
    <w:rsid w:val="473948A5"/>
    <w:rsid w:val="49E177A9"/>
    <w:rsid w:val="557014C0"/>
    <w:rsid w:val="5FCB618B"/>
    <w:rsid w:val="65EA4159"/>
    <w:rsid w:val="733137FF"/>
    <w:rsid w:val="743A5FEE"/>
    <w:rsid w:val="757334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jc w:val="left"/>
    </w:pPr>
    <w:rPr>
      <w:rFonts w:ascii="微软雅黑" w:hAnsi="微软雅黑" w:eastAsia="宋体" w:cs="宋体"/>
      <w:kern w:val="0"/>
      <w:sz w:val="24"/>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472</Words>
  <Characters>2695</Characters>
  <Lines>22</Lines>
  <Paragraphs>6</Paragraphs>
  <TotalTime>0</TotalTime>
  <ScaleCrop>false</ScaleCrop>
  <LinksUpToDate>false</LinksUpToDate>
  <CharactersWithSpaces>3161</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2020-04-01T05:41:00Z</dcterms:created>
  <dc:creator>CurUserName</dc:creator>
  <cp:lastModifiedBy>Administrator</cp:lastModifiedBy>
  <cp:lastPrinted>2020-04-21T05:12:00Z</cp:lastPrinted>
  <dcterms:modified xsi:type="dcterms:W3CDTF">2021-05-29T11:30:54Z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