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FF0F7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60" w:lineRule="exact"/>
        <w:jc w:val="both"/>
        <w:textAlignment w:val="center"/>
        <w:rPr>
          <w:rFonts w:hint="default" w:ascii="Times New Roman" w:hAnsi="Times New Roman" w:eastAsia="方正小标宋_GBK" w:cs="Times New Roman"/>
          <w:b w:val="0"/>
          <w:bCs w:val="0"/>
          <w:spacing w:val="0"/>
          <w:sz w:val="44"/>
          <w:szCs w:val="44"/>
          <w:lang w:val="en-US" w:eastAsia="zh-CN"/>
        </w:rPr>
      </w:pPr>
      <w:bookmarkStart w:id="23" w:name="_GoBack"/>
      <w:bookmarkEnd w:id="23"/>
    </w:p>
    <w:p w14:paraId="351D5701">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方正小标宋_GBK" w:cs="Times New Roman"/>
          <w:b w:val="0"/>
          <w:bCs w:val="0"/>
          <w:spacing w:val="0"/>
          <w:sz w:val="44"/>
          <w:szCs w:val="44"/>
          <w:lang w:val="en-US" w:eastAsia="zh-CN"/>
        </w:rPr>
      </w:pPr>
    </w:p>
    <w:p w14:paraId="04281812">
      <w:pPr>
        <w:pStyle w:val="13"/>
        <w:keepNext w:val="0"/>
        <w:keepLines w:val="0"/>
        <w:pageBreakBefore w:val="0"/>
        <w:overflowPunct/>
        <w:topLinePunct w:val="0"/>
        <w:bidi w:val="0"/>
        <w:spacing w:after="0" w:line="560" w:lineRule="exact"/>
        <w:rPr>
          <w:rFonts w:hint="default"/>
          <w:lang w:val="en-US" w:eastAsia="zh-CN"/>
        </w:rPr>
      </w:pPr>
    </w:p>
    <w:p w14:paraId="06CD253A">
      <w:pPr>
        <w:keepNext w:val="0"/>
        <w:keepLines w:val="0"/>
        <w:pageBreakBefore w:val="0"/>
        <w:overflowPunct/>
        <w:topLinePunct w:val="0"/>
        <w:bidi w:val="0"/>
        <w:spacing w:line="560" w:lineRule="exact"/>
        <w:jc w:val="center"/>
        <w:rPr>
          <w:rFonts w:hint="default" w:ascii="Times New Roman" w:hAnsi="Times New Roman" w:eastAsia="方正小标宋_GBK" w:cs="Times New Roman"/>
          <w:spacing w:val="0"/>
          <w:sz w:val="44"/>
          <w:szCs w:val="44"/>
          <w:lang w:val="en-US" w:eastAsia="zh-CN"/>
        </w:rPr>
      </w:pPr>
      <w:r>
        <w:rPr>
          <w:rFonts w:hint="default" w:ascii="Times New Roman" w:hAnsi="Times New Roman" w:eastAsia="方正小标宋_GBK" w:cs="Times New Roman"/>
          <w:b w:val="0"/>
          <w:bCs w:val="0"/>
          <w:spacing w:val="0"/>
          <w:sz w:val="44"/>
          <w:szCs w:val="44"/>
          <w:lang w:val="en-US" w:eastAsia="zh-CN"/>
        </w:rPr>
        <w:t>关</w:t>
      </w:r>
      <w:r>
        <w:rPr>
          <w:rFonts w:hint="default" w:ascii="Times New Roman" w:hAnsi="Times New Roman" w:eastAsia="方正小标宋_GBK" w:cs="Times New Roman"/>
          <w:spacing w:val="0"/>
          <w:sz w:val="44"/>
          <w:szCs w:val="44"/>
          <w:lang w:val="en-US" w:eastAsia="zh-CN"/>
        </w:rPr>
        <w:t>于对《</w:t>
      </w:r>
      <w:r>
        <w:rPr>
          <w:rFonts w:hint="eastAsia" w:ascii="Times New Roman" w:hAnsi="Times New Roman" w:eastAsia="方正小标宋_GBK" w:cs="Times New Roman"/>
          <w:spacing w:val="0"/>
          <w:sz w:val="44"/>
          <w:szCs w:val="44"/>
          <w:lang w:val="en-US" w:eastAsia="zh-CN"/>
        </w:rPr>
        <w:t>新疆和静县乌都乃布鲁克金铜多金属矿普查施工便道临时用地土地复垦方案报告书</w:t>
      </w:r>
      <w:r>
        <w:rPr>
          <w:rFonts w:hint="default" w:ascii="Times New Roman" w:hAnsi="Times New Roman" w:eastAsia="方正小标宋_GBK" w:cs="Times New Roman"/>
          <w:spacing w:val="0"/>
          <w:sz w:val="44"/>
          <w:szCs w:val="44"/>
          <w:lang w:val="en-US" w:eastAsia="zh-CN"/>
        </w:rPr>
        <w:t>》公开征求意见的公告</w:t>
      </w:r>
    </w:p>
    <w:p w14:paraId="7E202635">
      <w:pPr>
        <w:pStyle w:val="13"/>
        <w:keepNext w:val="0"/>
        <w:keepLines w:val="0"/>
        <w:pageBreakBefore w:val="0"/>
        <w:overflowPunct/>
        <w:topLinePunct w:val="0"/>
        <w:bidi w:val="0"/>
        <w:spacing w:after="0" w:line="560" w:lineRule="exact"/>
        <w:rPr>
          <w:rFonts w:hint="default"/>
          <w:lang w:val="en-US" w:eastAsia="zh-CN"/>
        </w:rPr>
      </w:pPr>
    </w:p>
    <w:p w14:paraId="455ED961">
      <w:pPr>
        <w:keepNext w:val="0"/>
        <w:keepLines w:val="0"/>
        <w:pageBreakBefore w:val="0"/>
        <w:widowControl/>
        <w:suppressLineNumbers w:val="0"/>
        <w:kinsoku/>
        <w:wordWrap w:val="0"/>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b w:val="0"/>
          <w:bCs w:val="0"/>
          <w:spacing w:val="0"/>
          <w:sz w:val="32"/>
          <w:szCs w:val="32"/>
          <w:lang w:val="en-US" w:eastAsia="zh-CN"/>
        </w:rPr>
      </w:pPr>
      <w:r>
        <w:rPr>
          <w:rFonts w:hint="default" w:ascii="Times New Roman" w:hAnsi="Times New Roman" w:eastAsia="方正仿宋_GBK" w:cs="Times New Roman"/>
          <w:b w:val="0"/>
          <w:bCs w:val="0"/>
          <w:spacing w:val="0"/>
          <w:sz w:val="32"/>
          <w:szCs w:val="32"/>
          <w:lang w:val="en-US" w:eastAsia="zh-CN"/>
        </w:rPr>
        <w:t>按照《土地复垦方案》文件规定，对《</w:t>
      </w:r>
      <w:r>
        <w:rPr>
          <w:rFonts w:hint="eastAsia" w:ascii="Times New Roman" w:hAnsi="Times New Roman" w:eastAsia="方正仿宋_GBK" w:cs="Times New Roman"/>
          <w:b w:val="0"/>
          <w:bCs w:val="0"/>
          <w:spacing w:val="0"/>
          <w:sz w:val="32"/>
          <w:szCs w:val="32"/>
          <w:lang w:val="en-US" w:eastAsia="zh-CN"/>
        </w:rPr>
        <w:t>新疆和静县乌都乃布鲁克金铜多金属矿普查施工便道临时用地土地复垦方案报告书</w:t>
      </w:r>
      <w:r>
        <w:rPr>
          <w:rFonts w:hint="default" w:ascii="Times New Roman" w:hAnsi="Times New Roman" w:eastAsia="方正仿宋_GBK" w:cs="Times New Roman"/>
          <w:b w:val="0"/>
          <w:bCs w:val="0"/>
          <w:spacing w:val="0"/>
          <w:sz w:val="32"/>
          <w:szCs w:val="32"/>
          <w:lang w:val="en-US" w:eastAsia="zh-CN"/>
        </w:rPr>
        <w:t>》，征询公众意见</w:t>
      </w:r>
      <w:r>
        <w:rPr>
          <w:rFonts w:hint="eastAsia" w:ascii="Times New Roman" w:hAnsi="Times New Roman" w:eastAsia="方正仿宋_GBK" w:cs="Times New Roman"/>
          <w:b w:val="0"/>
          <w:bCs w:val="0"/>
          <w:spacing w:val="0"/>
          <w:sz w:val="32"/>
          <w:szCs w:val="32"/>
          <w:lang w:val="en-US" w:eastAsia="zh-CN"/>
        </w:rPr>
        <w:t>建议</w:t>
      </w:r>
      <w:r>
        <w:rPr>
          <w:rFonts w:hint="default" w:ascii="Times New Roman" w:hAnsi="Times New Roman" w:eastAsia="方正仿宋_GBK" w:cs="Times New Roman"/>
          <w:b w:val="0"/>
          <w:bCs w:val="0"/>
          <w:spacing w:val="0"/>
          <w:sz w:val="32"/>
          <w:szCs w:val="32"/>
          <w:lang w:val="en-US" w:eastAsia="zh-CN"/>
        </w:rPr>
        <w:t>，公示如下：</w:t>
      </w:r>
    </w:p>
    <w:p w14:paraId="08F26E66">
      <w:pPr>
        <w:keepNext w:val="0"/>
        <w:keepLines w:val="0"/>
        <w:pageBreakBefore w:val="0"/>
        <w:wordWrap/>
        <w:overflowPunct/>
        <w:topLinePunct w:val="0"/>
        <w:bidi w:val="0"/>
        <w:adjustRightInd w:val="0"/>
        <w:spacing w:line="560" w:lineRule="exact"/>
        <w:ind w:firstLine="640" w:firstLineChars="200"/>
        <w:rPr>
          <w:rFonts w:hint="default" w:ascii="Times New Roman" w:hAnsi="Times New Roman" w:eastAsia="方正黑体_GBK" w:cs="Times New Roman"/>
          <w:b w:val="0"/>
          <w:bCs w:val="0"/>
          <w:snapToGrid w:val="0"/>
          <w:color w:val="000000"/>
          <w:kern w:val="0"/>
          <w:sz w:val="32"/>
          <w:szCs w:val="32"/>
          <w:lang w:val="en-US" w:eastAsia="zh-CN" w:bidi="ar-SA"/>
        </w:rPr>
      </w:pPr>
      <w:bookmarkStart w:id="0" w:name="_Toc340565569"/>
      <w:bookmarkStart w:id="1" w:name="_Toc340565702"/>
      <w:bookmarkStart w:id="2" w:name="_Toc341112431"/>
      <w:bookmarkStart w:id="3" w:name="_Toc8106"/>
      <w:bookmarkStart w:id="4" w:name="_Toc18372"/>
      <w:bookmarkStart w:id="5" w:name="_Toc340440652"/>
      <w:bookmarkStart w:id="6" w:name="_Toc22955"/>
      <w:bookmarkStart w:id="7" w:name="_Toc82249315"/>
      <w:r>
        <w:rPr>
          <w:rFonts w:hint="default" w:ascii="Times New Roman" w:hAnsi="Times New Roman" w:eastAsia="方正黑体_GBK" w:cs="Times New Roman"/>
          <w:b w:val="0"/>
          <w:bCs w:val="0"/>
          <w:snapToGrid w:val="0"/>
          <w:color w:val="000000"/>
          <w:kern w:val="0"/>
          <w:sz w:val="32"/>
          <w:szCs w:val="32"/>
          <w:lang w:val="en-US" w:eastAsia="zh-CN" w:bidi="ar-SA"/>
        </w:rPr>
        <w:t>1.1编制背景及过程</w:t>
      </w:r>
      <w:bookmarkEnd w:id="0"/>
      <w:bookmarkEnd w:id="1"/>
      <w:bookmarkEnd w:id="2"/>
      <w:bookmarkEnd w:id="3"/>
      <w:bookmarkEnd w:id="4"/>
      <w:bookmarkEnd w:id="5"/>
      <w:bookmarkEnd w:id="6"/>
      <w:bookmarkEnd w:id="7"/>
    </w:p>
    <w:p w14:paraId="6646046F">
      <w:pPr>
        <w:keepNext w:val="0"/>
        <w:keepLines w:val="0"/>
        <w:pageBreakBefore w:val="0"/>
        <w:widowControl/>
        <w:suppressLineNumbers w:val="0"/>
        <w:kinsoku/>
        <w:wordWrap w:val="0"/>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b w:val="0"/>
          <w:bCs w:val="0"/>
          <w:spacing w:val="0"/>
          <w:sz w:val="32"/>
          <w:szCs w:val="32"/>
          <w:lang w:val="en-US" w:eastAsia="zh-CN"/>
        </w:rPr>
      </w:pPr>
      <w:bookmarkStart w:id="8" w:name="_Toc341112432"/>
      <w:bookmarkStart w:id="9" w:name="_Toc340440653"/>
      <w:bookmarkStart w:id="10" w:name="_Toc340565703"/>
      <w:bookmarkStart w:id="11" w:name="_Toc16492"/>
      <w:bookmarkStart w:id="12" w:name="_Toc25351"/>
      <w:bookmarkStart w:id="13" w:name="_Toc5914"/>
      <w:bookmarkStart w:id="14" w:name="_Toc340565570"/>
      <w:bookmarkStart w:id="15" w:name="_Toc82249316"/>
      <w:r>
        <w:rPr>
          <w:rFonts w:hint="eastAsia" w:ascii="Times New Roman" w:hAnsi="Times New Roman" w:eastAsia="方正仿宋_GBK" w:cs="Times New Roman"/>
          <w:b w:val="0"/>
          <w:bCs w:val="0"/>
          <w:spacing w:val="0"/>
          <w:sz w:val="32"/>
          <w:szCs w:val="32"/>
          <w:lang w:val="en-US" w:eastAsia="zh-CN"/>
        </w:rPr>
        <w:t>新疆东方矿业有限公司为响应新疆维吾尔自治区《新疆维吾尔自治区矿产资源勘查投入监督管理规定》，继续深入贯彻落实自治区《关于推动矿业高质量发展的若干措施》的通知，落实各级政府会议精神，为了推动矿产资源高效开发利用和矿业高质量发展，公司加大矿业权勘查投入，实现新一轮找矿战略突破，新疆东方矿业有限公司拟计划对新疆和静县乌都乃布鲁克金铜多金属矿普查项目开展地质勘查工作。</w:t>
      </w:r>
    </w:p>
    <w:p w14:paraId="438B877D">
      <w:pPr>
        <w:keepNext w:val="0"/>
        <w:keepLines w:val="0"/>
        <w:pageBreakBefore w:val="0"/>
        <w:widowControl/>
        <w:suppressLineNumbers w:val="0"/>
        <w:kinsoku/>
        <w:wordWrap w:val="0"/>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本项目申请用地1.6062公顷（24.0930亩），拟占用土地位于和静县境内，占地类型为临时用地，用于新疆和静县乌都乃布鲁克金铜多金属矿普查施工便道建设使用。</w:t>
      </w:r>
    </w:p>
    <w:p w14:paraId="270CD8DF">
      <w:pPr>
        <w:keepNext w:val="0"/>
        <w:keepLines w:val="0"/>
        <w:pageBreakBefore w:val="0"/>
        <w:widowControl/>
        <w:suppressLineNumbers w:val="0"/>
        <w:kinsoku/>
        <w:wordWrap w:val="0"/>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根据《土地复垦条例实施办法》（国土资源部令第56号，2019年7月16日修正）和自然资源部关于规范临时用地管理的通知（自然资规〔2021〕2号）文件要求，及时复垦利用被损毁的土地，充分挖掘废弃土地潜力，促进土地节约集约利用，保护和改善建设项目周边环境，实现社会经济与生态环境可持续发展，新疆东方矿业有限公司于2026年10月委托巴州德源宏鑫矿业技术有限公司编制《新疆和静县乌都乃布鲁克金铜多金属矿普查施工便道临时用地土地复垦方案报告书》。</w:t>
      </w:r>
    </w:p>
    <w:p w14:paraId="4391BA52">
      <w:pPr>
        <w:keepNext w:val="0"/>
        <w:keepLines w:val="0"/>
        <w:pageBreakBefore w:val="0"/>
        <w:widowControl/>
        <w:suppressLineNumbers w:val="0"/>
        <w:kinsoku/>
        <w:wordWrap w:val="0"/>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接受委托后，巴州德源宏鑫矿业技术有限公司编制组成员多次对现场进行了调查，收集了相关基础资料，走访了相关职能部门和土地权利人，咨询和了解了当地土地利用总体规划和相关土地复垦规定，严格按照《土地复垦方案编制规程》等有关规定进行编制，并反复讨论修改，最终形成《新疆和静县乌都乃布鲁克金铜多金属矿普查施工便道临时用地土地复垦方案报告书》及附图、附件。</w:t>
      </w:r>
    </w:p>
    <w:p w14:paraId="218DCA11">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方正黑体_GBK" w:cs="Times New Roman"/>
          <w:b w:val="0"/>
          <w:bCs w:val="0"/>
          <w:snapToGrid w:val="0"/>
          <w:color w:val="000000"/>
          <w:kern w:val="0"/>
          <w:sz w:val="32"/>
          <w:szCs w:val="32"/>
          <w:lang w:val="en-US" w:eastAsia="zh-CN" w:bidi="ar-SA"/>
        </w:rPr>
      </w:pPr>
      <w:r>
        <w:rPr>
          <w:rFonts w:hint="default" w:ascii="Times New Roman" w:hAnsi="Times New Roman" w:eastAsia="方正黑体_GBK" w:cs="Times New Roman"/>
          <w:b w:val="0"/>
          <w:bCs w:val="0"/>
          <w:snapToGrid w:val="0"/>
          <w:color w:val="000000"/>
          <w:kern w:val="0"/>
          <w:sz w:val="32"/>
          <w:szCs w:val="32"/>
          <w:lang w:val="en-US" w:eastAsia="zh-CN" w:bidi="ar-SA"/>
        </w:rPr>
        <w:t>1.2复垦方案摘要</w:t>
      </w:r>
      <w:bookmarkEnd w:id="8"/>
      <w:bookmarkEnd w:id="9"/>
      <w:bookmarkEnd w:id="10"/>
      <w:bookmarkEnd w:id="11"/>
      <w:bookmarkEnd w:id="12"/>
      <w:bookmarkEnd w:id="13"/>
      <w:bookmarkEnd w:id="14"/>
      <w:bookmarkEnd w:id="15"/>
      <w:r>
        <w:rPr>
          <w:rFonts w:hint="default" w:ascii="Times New Roman" w:hAnsi="Times New Roman" w:eastAsia="方正黑体_GBK" w:cs="Times New Roman"/>
          <w:b w:val="0"/>
          <w:bCs w:val="0"/>
          <w:snapToGrid w:val="0"/>
          <w:color w:val="000000"/>
          <w:kern w:val="0"/>
          <w:sz w:val="32"/>
          <w:szCs w:val="32"/>
          <w:lang w:val="en-US" w:eastAsia="zh-CN" w:bidi="ar-SA"/>
        </w:rPr>
        <w:tab/>
      </w:r>
    </w:p>
    <w:p w14:paraId="387ED20A">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outlineLvl w:val="2"/>
        <w:rPr>
          <w:rFonts w:hint="eastAsia" w:ascii="方正楷体_GBK" w:hAnsi="方正楷体_GBK" w:eastAsia="方正楷体_GBK" w:cs="方正楷体_GBK"/>
          <w:sz w:val="32"/>
          <w:szCs w:val="32"/>
        </w:rPr>
      </w:pPr>
      <w:bookmarkStart w:id="16" w:name="_Toc82249317"/>
      <w:bookmarkStart w:id="17" w:name="_Toc82249318"/>
      <w:r>
        <w:rPr>
          <w:rFonts w:hint="eastAsia" w:ascii="方正楷体_GBK" w:hAnsi="方正楷体_GBK" w:eastAsia="方正楷体_GBK" w:cs="方正楷体_GBK"/>
          <w:sz w:val="32"/>
          <w:szCs w:val="32"/>
        </w:rPr>
        <w:t>1.2.1服务年限</w:t>
      </w:r>
      <w:bookmarkEnd w:id="16"/>
    </w:p>
    <w:bookmarkEnd w:id="17"/>
    <w:p w14:paraId="0AC2F513">
      <w:pPr>
        <w:keepNext w:val="0"/>
        <w:keepLines w:val="0"/>
        <w:pageBreakBefore w:val="0"/>
        <w:widowControl/>
        <w:suppressLineNumbers w:val="0"/>
        <w:kinsoku/>
        <w:wordWrap w:val="0"/>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b w:val="0"/>
          <w:bCs w:val="0"/>
          <w:spacing w:val="0"/>
          <w:sz w:val="32"/>
          <w:szCs w:val="32"/>
          <w:lang w:val="en-US" w:eastAsia="zh-CN"/>
        </w:rPr>
      </w:pPr>
      <w:r>
        <w:rPr>
          <w:rFonts w:hint="default" w:ascii="Times New Roman" w:hAnsi="Times New Roman" w:eastAsia="方正仿宋_GBK" w:cs="Times New Roman"/>
          <w:b w:val="0"/>
          <w:bCs w:val="0"/>
          <w:spacing w:val="0"/>
          <w:sz w:val="32"/>
          <w:szCs w:val="32"/>
          <w:lang w:val="en-US" w:eastAsia="zh-CN"/>
        </w:rPr>
        <w:t>根据TD/T 1031.1-2011和TD/T 1031.6-2011的规定，建设项目土地复垦服务年限应包括临时用地使用年限、复垦工期、监测期及管护期。</w:t>
      </w:r>
    </w:p>
    <w:p w14:paraId="66940192">
      <w:pPr>
        <w:keepNext w:val="0"/>
        <w:keepLines w:val="0"/>
        <w:pageBreakBefore w:val="0"/>
        <w:widowControl/>
        <w:suppressLineNumbers w:val="0"/>
        <w:kinsoku/>
        <w:wordWrap w:val="0"/>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b w:val="0"/>
          <w:bCs w:val="0"/>
          <w:spacing w:val="0"/>
          <w:sz w:val="32"/>
          <w:szCs w:val="32"/>
          <w:lang w:val="en-US" w:eastAsia="zh-CN"/>
        </w:rPr>
      </w:pPr>
      <w:r>
        <w:rPr>
          <w:rFonts w:hint="default" w:ascii="Times New Roman" w:hAnsi="Times New Roman" w:eastAsia="方正仿宋_GBK" w:cs="Times New Roman"/>
          <w:b w:val="0"/>
          <w:bCs w:val="0"/>
          <w:spacing w:val="0"/>
          <w:sz w:val="32"/>
          <w:szCs w:val="32"/>
          <w:lang w:val="en-US" w:eastAsia="zh-CN"/>
        </w:rPr>
        <w:t>该项目为新疆和静县乌都乃布鲁克金铜多金属矿普查项目临时用地使用期为2年（包括勘查准备期和勘查施工期，2026年10月</w:t>
      </w:r>
      <w:r>
        <w:rPr>
          <w:rFonts w:hint="eastAsia" w:ascii="Times New Roman" w:hAnsi="Times New Roman" w:eastAsia="方正仿宋_GBK" w:cs="Times New Roman"/>
          <w:b w:val="0"/>
          <w:bCs w:val="0"/>
          <w:spacing w:val="0"/>
          <w:sz w:val="32"/>
          <w:szCs w:val="32"/>
          <w:lang w:val="en-US" w:eastAsia="zh-CN"/>
        </w:rPr>
        <w:t>—</w:t>
      </w:r>
      <w:r>
        <w:rPr>
          <w:rFonts w:hint="default" w:ascii="Times New Roman" w:hAnsi="Times New Roman" w:eastAsia="方正仿宋_GBK" w:cs="Times New Roman"/>
          <w:b w:val="0"/>
          <w:bCs w:val="0"/>
          <w:spacing w:val="0"/>
          <w:sz w:val="32"/>
          <w:szCs w:val="32"/>
          <w:lang w:val="en-US" w:eastAsia="zh-CN"/>
        </w:rPr>
        <w:t>2028年9月。土地复垦滞后于勘查期，由于气候特征的影响，设计复垦施工期为2个月2028年10月</w:t>
      </w:r>
      <w:r>
        <w:rPr>
          <w:rFonts w:hint="eastAsia" w:ascii="Times New Roman" w:hAnsi="Times New Roman" w:eastAsia="方正仿宋_GBK" w:cs="Times New Roman"/>
          <w:b w:val="0"/>
          <w:bCs w:val="0"/>
          <w:spacing w:val="0"/>
          <w:sz w:val="32"/>
          <w:szCs w:val="32"/>
          <w:lang w:val="en-US" w:eastAsia="zh-CN"/>
        </w:rPr>
        <w:t>—</w:t>
      </w:r>
      <w:r>
        <w:rPr>
          <w:rFonts w:hint="default" w:ascii="Times New Roman" w:hAnsi="Times New Roman" w:eastAsia="方正仿宋_GBK" w:cs="Times New Roman"/>
          <w:b w:val="0"/>
          <w:bCs w:val="0"/>
          <w:spacing w:val="0"/>
          <w:sz w:val="32"/>
          <w:szCs w:val="32"/>
          <w:lang w:val="en-US" w:eastAsia="zh-CN"/>
        </w:rPr>
        <w:t>2028年11月）。由于本次申请的临时用地类型为裸岩石砾地和农村道路，不再设置管护期，设置监测期2年（2028年12月</w:t>
      </w:r>
      <w:r>
        <w:rPr>
          <w:rFonts w:hint="eastAsia" w:ascii="Times New Roman" w:hAnsi="Times New Roman" w:eastAsia="方正仿宋_GBK" w:cs="Times New Roman"/>
          <w:b w:val="0"/>
          <w:bCs w:val="0"/>
          <w:spacing w:val="0"/>
          <w:sz w:val="32"/>
          <w:szCs w:val="32"/>
          <w:lang w:val="en-US" w:eastAsia="zh-CN"/>
        </w:rPr>
        <w:t>—</w:t>
      </w:r>
      <w:r>
        <w:rPr>
          <w:rFonts w:hint="default" w:ascii="Times New Roman" w:hAnsi="Times New Roman" w:eastAsia="方正仿宋_GBK" w:cs="Times New Roman"/>
          <w:b w:val="0"/>
          <w:bCs w:val="0"/>
          <w:spacing w:val="0"/>
          <w:sz w:val="32"/>
          <w:szCs w:val="32"/>
          <w:lang w:val="en-US" w:eastAsia="zh-CN"/>
        </w:rPr>
        <w:t>2030年11月）。</w:t>
      </w:r>
    </w:p>
    <w:p w14:paraId="1CD26BF6">
      <w:pPr>
        <w:keepNext w:val="0"/>
        <w:keepLines w:val="0"/>
        <w:pageBreakBefore w:val="0"/>
        <w:widowControl/>
        <w:suppressLineNumbers w:val="0"/>
        <w:kinsoku/>
        <w:wordWrap w:val="0"/>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b w:val="0"/>
          <w:bCs w:val="0"/>
          <w:spacing w:val="0"/>
          <w:sz w:val="32"/>
          <w:szCs w:val="32"/>
          <w:lang w:val="en-US" w:eastAsia="zh-CN"/>
        </w:rPr>
      </w:pPr>
      <w:r>
        <w:rPr>
          <w:rFonts w:hint="default" w:ascii="Times New Roman" w:hAnsi="Times New Roman" w:eastAsia="方正仿宋_GBK" w:cs="Times New Roman"/>
          <w:b w:val="0"/>
          <w:bCs w:val="0"/>
          <w:spacing w:val="0"/>
          <w:sz w:val="32"/>
          <w:szCs w:val="32"/>
          <w:lang w:val="en-US" w:eastAsia="zh-CN"/>
        </w:rPr>
        <w:t>因此，最终确定本方案的服务年限为4年2个月，即2026年10月</w:t>
      </w:r>
      <w:r>
        <w:rPr>
          <w:rFonts w:hint="eastAsia" w:ascii="Times New Roman" w:hAnsi="Times New Roman" w:eastAsia="方正仿宋_GBK" w:cs="Times New Roman"/>
          <w:b w:val="0"/>
          <w:bCs w:val="0"/>
          <w:spacing w:val="0"/>
          <w:sz w:val="32"/>
          <w:szCs w:val="32"/>
          <w:lang w:val="en-US" w:eastAsia="zh-CN"/>
        </w:rPr>
        <w:t>—</w:t>
      </w:r>
      <w:r>
        <w:rPr>
          <w:rFonts w:hint="default" w:ascii="Times New Roman" w:hAnsi="Times New Roman" w:eastAsia="方正仿宋_GBK" w:cs="Times New Roman"/>
          <w:b w:val="0"/>
          <w:bCs w:val="0"/>
          <w:spacing w:val="0"/>
          <w:sz w:val="32"/>
          <w:szCs w:val="32"/>
          <w:lang w:val="en-US" w:eastAsia="zh-CN"/>
        </w:rPr>
        <w:t>2030年11月。</w:t>
      </w:r>
    </w:p>
    <w:p w14:paraId="234EA365">
      <w:pPr>
        <w:keepNext w:val="0"/>
        <w:keepLines w:val="0"/>
        <w:pageBreakBefore w:val="0"/>
        <w:widowControl/>
        <w:suppressLineNumbers w:val="0"/>
        <w:kinsoku/>
        <w:wordWrap w:val="0"/>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b w:val="0"/>
          <w:bCs w:val="0"/>
          <w:spacing w:val="0"/>
          <w:sz w:val="32"/>
          <w:szCs w:val="32"/>
          <w:lang w:val="en-US" w:eastAsia="zh-CN"/>
        </w:rPr>
      </w:pPr>
      <w:r>
        <w:rPr>
          <w:rFonts w:hint="default" w:ascii="Times New Roman" w:hAnsi="Times New Roman" w:eastAsia="方正仿宋_GBK" w:cs="Times New Roman"/>
          <w:b w:val="0"/>
          <w:bCs w:val="0"/>
          <w:spacing w:val="0"/>
          <w:sz w:val="32"/>
          <w:szCs w:val="32"/>
          <w:lang w:val="en-US" w:eastAsia="zh-CN"/>
        </w:rPr>
        <w:t>根据《</w:t>
      </w:r>
      <w:r>
        <w:rPr>
          <w:rFonts w:hint="eastAsia" w:ascii="Times New Roman" w:hAnsi="Times New Roman" w:eastAsia="方正仿宋_GBK" w:cs="Times New Roman"/>
          <w:b w:val="0"/>
          <w:bCs w:val="0"/>
          <w:spacing w:val="0"/>
          <w:sz w:val="32"/>
          <w:szCs w:val="32"/>
          <w:lang w:val="en-US" w:eastAsia="zh-CN"/>
        </w:rPr>
        <w:t>中华人民共和国土地管理法</w:t>
      </w:r>
      <w:r>
        <w:rPr>
          <w:rFonts w:hint="default" w:ascii="Times New Roman" w:hAnsi="Times New Roman" w:eastAsia="方正仿宋_GBK" w:cs="Times New Roman"/>
          <w:b w:val="0"/>
          <w:bCs w:val="0"/>
          <w:spacing w:val="0"/>
          <w:sz w:val="32"/>
          <w:szCs w:val="32"/>
          <w:lang w:val="en-US" w:eastAsia="zh-CN"/>
        </w:rPr>
        <w:t>》规定，临时使用土地的使用者应当按照临时使用土地合同约定的用途使用土地，并不得修建永久性建筑物。临时使用土地期限一般不超过二年，重大工程不超过四年的规定。</w:t>
      </w:r>
    </w:p>
    <w:p w14:paraId="222ED660">
      <w:pPr>
        <w:keepNext w:val="0"/>
        <w:keepLines w:val="0"/>
        <w:pageBreakBefore w:val="0"/>
        <w:wordWrap/>
        <w:overflowPunct/>
        <w:topLinePunct w:val="0"/>
        <w:autoSpaceDE w:val="0"/>
        <w:autoSpaceDN w:val="0"/>
        <w:bidi w:val="0"/>
        <w:snapToGrid w:val="0"/>
        <w:spacing w:line="560" w:lineRule="exact"/>
        <w:ind w:firstLine="640" w:firstLineChars="200"/>
        <w:outlineLvl w:val="2"/>
        <w:rPr>
          <w:rFonts w:hint="default" w:ascii="方正楷体_GBK" w:hAnsi="方正楷体_GBK" w:eastAsia="方正楷体_GBK" w:cs="方正楷体_GBK"/>
          <w:sz w:val="32"/>
          <w:szCs w:val="32"/>
        </w:rPr>
      </w:pPr>
      <w:r>
        <w:rPr>
          <w:rFonts w:hint="default" w:ascii="方正楷体_GBK" w:hAnsi="方正楷体_GBK" w:eastAsia="方正楷体_GBK" w:cs="方正楷体_GBK"/>
          <w:sz w:val="32"/>
          <w:szCs w:val="32"/>
        </w:rPr>
        <w:t>1.2.2</w:t>
      </w:r>
      <w:r>
        <w:rPr>
          <w:rFonts w:hint="eastAsia" w:ascii="方正楷体_GBK" w:hAnsi="方正楷体_GBK" w:eastAsia="方正楷体_GBK" w:cs="方正楷体_GBK"/>
          <w:sz w:val="32"/>
          <w:szCs w:val="32"/>
          <w:lang w:val="en-US" w:eastAsia="zh-CN"/>
        </w:rPr>
        <w:t>临时用地</w:t>
      </w:r>
      <w:r>
        <w:rPr>
          <w:rFonts w:hint="default" w:ascii="方正楷体_GBK" w:hAnsi="方正楷体_GBK" w:eastAsia="方正楷体_GBK" w:cs="方正楷体_GBK"/>
          <w:sz w:val="32"/>
          <w:szCs w:val="32"/>
        </w:rPr>
        <w:t>涉及的各类土地面积</w:t>
      </w:r>
    </w:p>
    <w:p w14:paraId="6EE14D76">
      <w:pPr>
        <w:keepNext w:val="0"/>
        <w:keepLines w:val="0"/>
        <w:pageBreakBefore w:val="0"/>
        <w:widowControl/>
        <w:suppressLineNumbers w:val="0"/>
        <w:kinsoku/>
        <w:wordWrap w:val="0"/>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kern w:val="0"/>
          <w:sz w:val="24"/>
          <w:szCs w:val="24"/>
          <w:lang w:val="en-US" w:eastAsia="zh-CN" w:bidi="ar-SA"/>
        </w:rPr>
      </w:pPr>
      <w:bookmarkStart w:id="18" w:name="_Toc82249319"/>
      <w:bookmarkStart w:id="19" w:name="OLE_LINK2"/>
      <w:bookmarkStart w:id="20" w:name="_Hlk228967561"/>
      <w:r>
        <w:rPr>
          <w:rFonts w:hint="eastAsia" w:ascii="Times New Roman" w:hAnsi="Times New Roman" w:eastAsia="方正仿宋_GBK" w:cs="Times New Roman"/>
          <w:b w:val="0"/>
          <w:bCs w:val="0"/>
          <w:spacing w:val="0"/>
          <w:sz w:val="32"/>
          <w:szCs w:val="32"/>
          <w:lang w:val="en-US" w:eastAsia="zh-CN"/>
        </w:rPr>
        <w:t>本项目占地总面积为</w:t>
      </w:r>
      <w:bookmarkStart w:id="21" w:name="_Hlk106115145"/>
      <w:r>
        <w:rPr>
          <w:rFonts w:hint="eastAsia" w:ascii="Times New Roman" w:hAnsi="Times New Roman" w:eastAsia="方正仿宋_GBK" w:cs="Times New Roman"/>
          <w:b w:val="0"/>
          <w:bCs w:val="0"/>
          <w:spacing w:val="0"/>
          <w:sz w:val="32"/>
          <w:szCs w:val="32"/>
          <w:lang w:val="en-US" w:eastAsia="zh-CN"/>
        </w:rPr>
        <w:t>1.6062公顷</w:t>
      </w:r>
      <w:bookmarkEnd w:id="21"/>
      <w:r>
        <w:rPr>
          <w:rFonts w:hint="eastAsia" w:ascii="Times New Roman" w:hAnsi="Times New Roman" w:eastAsia="方正仿宋_GBK" w:cs="Times New Roman"/>
          <w:b w:val="0"/>
          <w:bCs w:val="0"/>
          <w:spacing w:val="0"/>
          <w:sz w:val="32"/>
          <w:szCs w:val="32"/>
          <w:lang w:val="en-US" w:eastAsia="zh-CN"/>
        </w:rPr>
        <w:t>，均为临时用地，土地类型为裸岩石砾地和农村道路。方案涉及具体各类用地面积见表1-1所示。</w:t>
      </w:r>
    </w:p>
    <w:p w14:paraId="21A6E579">
      <w:pPr>
        <w:spacing w:line="360" w:lineRule="auto"/>
        <w:jc w:val="center"/>
        <w:rPr>
          <w:rFonts w:eastAsia="黑体"/>
          <w:kern w:val="0"/>
          <w:szCs w:val="21"/>
        </w:rPr>
      </w:pPr>
      <w:r>
        <w:rPr>
          <w:rFonts w:eastAsia="黑体"/>
          <w:kern w:val="0"/>
          <w:szCs w:val="21"/>
        </w:rPr>
        <w:t>表1-1   方案涉及各类土地面积</w:t>
      </w:r>
      <w:r>
        <w:rPr>
          <w:rFonts w:hint="eastAsia" w:eastAsia="黑体"/>
          <w:kern w:val="0"/>
          <w:szCs w:val="21"/>
          <w:lang w:val="en-US" w:eastAsia="zh-CN"/>
        </w:rPr>
        <w:t>统计</w:t>
      </w:r>
      <w:r>
        <w:rPr>
          <w:rFonts w:eastAsia="黑体"/>
          <w:kern w:val="0"/>
          <w:szCs w:val="21"/>
        </w:rPr>
        <w:t>表</w:t>
      </w:r>
    </w:p>
    <w:tbl>
      <w:tblPr>
        <w:tblStyle w:val="11"/>
        <w:tblW w:w="524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70"/>
        <w:gridCol w:w="2335"/>
        <w:gridCol w:w="745"/>
        <w:gridCol w:w="1281"/>
        <w:gridCol w:w="1336"/>
        <w:gridCol w:w="1512"/>
        <w:gridCol w:w="1719"/>
      </w:tblGrid>
      <w:tr w14:paraId="4F8B9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3" w:hRule="atLeast"/>
        </w:trPr>
        <w:tc>
          <w:tcPr>
            <w:tcW w:w="1529" w:type="pct"/>
            <w:gridSpan w:val="2"/>
            <w:shd w:val="clear" w:color="auto" w:fill="auto"/>
            <w:vAlign w:val="center"/>
          </w:tcPr>
          <w:p w14:paraId="5825A109">
            <w:pPr>
              <w:keepNext w:val="0"/>
              <w:keepLines w:val="0"/>
              <w:widowControl/>
              <w:suppressLineNumbers w:val="0"/>
              <w:jc w:val="center"/>
              <w:textAlignment w:val="center"/>
              <w:rPr>
                <w:rFonts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一级地类</w:t>
            </w:r>
          </w:p>
        </w:tc>
        <w:tc>
          <w:tcPr>
            <w:tcW w:w="1066" w:type="pct"/>
            <w:gridSpan w:val="2"/>
            <w:shd w:val="clear" w:color="auto" w:fill="auto"/>
            <w:vAlign w:val="center"/>
          </w:tcPr>
          <w:p w14:paraId="26D9DC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二级地类</w:t>
            </w:r>
          </w:p>
        </w:tc>
        <w:tc>
          <w:tcPr>
            <w:tcW w:w="703" w:type="pct"/>
            <w:shd w:val="clear" w:color="auto" w:fill="auto"/>
            <w:vAlign w:val="center"/>
          </w:tcPr>
          <w:p w14:paraId="19C902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拟损毁面积（</w:t>
            </w:r>
            <w:r>
              <w:rPr>
                <w:rFonts w:hint="default" w:ascii="Times New Roman" w:hAnsi="Times New Roman" w:eastAsia="仿宋" w:cs="Times New Roman"/>
                <w:i w:val="0"/>
                <w:iCs w:val="0"/>
                <w:color w:val="000000"/>
                <w:kern w:val="0"/>
                <w:sz w:val="18"/>
                <w:szCs w:val="18"/>
                <w:u w:val="none"/>
                <w:lang w:val="en-US" w:eastAsia="zh-CN" w:bidi="ar"/>
              </w:rPr>
              <w:t>hm</w:t>
            </w:r>
            <w:r>
              <w:rPr>
                <w:rFonts w:hint="default" w:ascii="Times New Roman" w:hAnsi="Times New Roman" w:eastAsia="仿宋" w:cs="Times New Roman"/>
                <w:i w:val="0"/>
                <w:iCs w:val="0"/>
                <w:color w:val="000000"/>
                <w:kern w:val="0"/>
                <w:sz w:val="18"/>
                <w:szCs w:val="18"/>
                <w:u w:val="none"/>
                <w:vertAlign w:val="superscript"/>
                <w:lang w:val="en-US" w:eastAsia="zh-CN" w:bidi="ar"/>
              </w:rPr>
              <w:t>2</w:t>
            </w:r>
            <w:r>
              <w:rPr>
                <w:rFonts w:hint="eastAsia" w:ascii="仿宋" w:hAnsi="仿宋" w:eastAsia="仿宋" w:cs="仿宋"/>
                <w:i w:val="0"/>
                <w:iCs w:val="0"/>
                <w:color w:val="000000"/>
                <w:kern w:val="0"/>
                <w:sz w:val="18"/>
                <w:szCs w:val="18"/>
                <w:u w:val="none"/>
                <w:lang w:val="en-US" w:eastAsia="zh-CN" w:bidi="ar"/>
              </w:rPr>
              <w:t>）</w:t>
            </w:r>
          </w:p>
        </w:tc>
        <w:tc>
          <w:tcPr>
            <w:tcW w:w="795" w:type="pct"/>
            <w:shd w:val="clear" w:color="auto" w:fill="auto"/>
            <w:vAlign w:val="center"/>
          </w:tcPr>
          <w:p w14:paraId="0CFDC98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已损毁面积（</w:t>
            </w:r>
            <w:r>
              <w:rPr>
                <w:rFonts w:hint="default" w:ascii="Times New Roman" w:hAnsi="Times New Roman" w:eastAsia="仿宋" w:cs="Times New Roman"/>
                <w:i w:val="0"/>
                <w:iCs w:val="0"/>
                <w:color w:val="000000"/>
                <w:kern w:val="0"/>
                <w:sz w:val="18"/>
                <w:szCs w:val="18"/>
                <w:u w:val="none"/>
                <w:lang w:val="en-US" w:eastAsia="zh-CN" w:bidi="ar"/>
              </w:rPr>
              <w:t>hm</w:t>
            </w:r>
            <w:r>
              <w:rPr>
                <w:rFonts w:hint="default" w:ascii="Times New Roman" w:hAnsi="Times New Roman" w:eastAsia="仿宋" w:cs="Times New Roman"/>
                <w:i w:val="0"/>
                <w:iCs w:val="0"/>
                <w:color w:val="000000"/>
                <w:kern w:val="0"/>
                <w:sz w:val="18"/>
                <w:szCs w:val="18"/>
                <w:u w:val="none"/>
                <w:vertAlign w:val="superscript"/>
                <w:lang w:val="en-US" w:eastAsia="zh-CN" w:bidi="ar"/>
              </w:rPr>
              <w:t>2</w:t>
            </w:r>
            <w:r>
              <w:rPr>
                <w:rFonts w:hint="eastAsia" w:ascii="仿宋" w:hAnsi="仿宋" w:eastAsia="仿宋" w:cs="仿宋"/>
                <w:i w:val="0"/>
                <w:iCs w:val="0"/>
                <w:color w:val="000000"/>
                <w:kern w:val="0"/>
                <w:sz w:val="18"/>
                <w:szCs w:val="18"/>
                <w:u w:val="none"/>
                <w:lang w:val="en-US" w:eastAsia="zh-CN" w:bidi="ar"/>
              </w:rPr>
              <w:t>）</w:t>
            </w:r>
          </w:p>
        </w:tc>
        <w:tc>
          <w:tcPr>
            <w:tcW w:w="904" w:type="pct"/>
            <w:shd w:val="clear" w:color="auto" w:fill="auto"/>
            <w:vAlign w:val="center"/>
          </w:tcPr>
          <w:p w14:paraId="07A501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占总面积比例（</w:t>
            </w:r>
            <w:r>
              <w:rPr>
                <w:rFonts w:hint="default" w:ascii="Times New Roman" w:hAnsi="Times New Roman" w:eastAsia="仿宋" w:cs="Times New Roman"/>
                <w:i w:val="0"/>
                <w:iCs w:val="0"/>
                <w:color w:val="000000"/>
                <w:kern w:val="0"/>
                <w:sz w:val="18"/>
                <w:szCs w:val="18"/>
                <w:u w:val="none"/>
                <w:lang w:val="en-US" w:eastAsia="zh-CN" w:bidi="ar"/>
              </w:rPr>
              <w:t>%</w:t>
            </w:r>
            <w:r>
              <w:rPr>
                <w:rFonts w:hint="eastAsia" w:ascii="仿宋" w:hAnsi="仿宋" w:eastAsia="仿宋" w:cs="仿宋"/>
                <w:i w:val="0"/>
                <w:iCs w:val="0"/>
                <w:color w:val="000000"/>
                <w:kern w:val="0"/>
                <w:sz w:val="18"/>
                <w:szCs w:val="18"/>
                <w:u w:val="none"/>
                <w:lang w:val="en-US" w:eastAsia="zh-CN" w:bidi="ar"/>
              </w:rPr>
              <w:t>）</w:t>
            </w:r>
          </w:p>
        </w:tc>
      </w:tr>
      <w:tr w14:paraId="36D5A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300" w:type="pct"/>
            <w:shd w:val="clear" w:color="auto" w:fill="auto"/>
            <w:vAlign w:val="center"/>
          </w:tcPr>
          <w:p w14:paraId="037DAF48">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lang w:val="en-US"/>
              </w:rPr>
            </w:pPr>
            <w:r>
              <w:rPr>
                <w:rFonts w:hint="eastAsia" w:cs="Times New Roman"/>
                <w:i w:val="0"/>
                <w:iCs w:val="0"/>
                <w:color w:val="000000"/>
                <w:kern w:val="0"/>
                <w:sz w:val="18"/>
                <w:szCs w:val="18"/>
                <w:u w:val="none"/>
                <w:lang w:val="en-US" w:eastAsia="zh-CN" w:bidi="ar"/>
              </w:rPr>
              <w:t>12</w:t>
            </w:r>
          </w:p>
        </w:tc>
        <w:tc>
          <w:tcPr>
            <w:tcW w:w="1229" w:type="pct"/>
            <w:shd w:val="clear" w:color="auto" w:fill="auto"/>
            <w:vAlign w:val="center"/>
          </w:tcPr>
          <w:p w14:paraId="00AE038F">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其他土地</w:t>
            </w:r>
          </w:p>
        </w:tc>
        <w:tc>
          <w:tcPr>
            <w:tcW w:w="392" w:type="pct"/>
            <w:shd w:val="clear" w:color="auto" w:fill="auto"/>
            <w:vAlign w:val="center"/>
          </w:tcPr>
          <w:p w14:paraId="14FB8CA1">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lang w:val="en-US"/>
              </w:rPr>
            </w:pPr>
            <w:r>
              <w:rPr>
                <w:rFonts w:hint="eastAsia" w:cs="Times New Roman"/>
                <w:i w:val="0"/>
                <w:iCs w:val="0"/>
                <w:color w:val="000000"/>
                <w:kern w:val="0"/>
                <w:sz w:val="18"/>
                <w:szCs w:val="18"/>
                <w:u w:val="none"/>
                <w:lang w:val="en-US" w:eastAsia="zh-CN" w:bidi="ar"/>
              </w:rPr>
              <w:t>1207</w:t>
            </w:r>
          </w:p>
        </w:tc>
        <w:tc>
          <w:tcPr>
            <w:tcW w:w="674" w:type="pct"/>
            <w:shd w:val="clear" w:color="auto" w:fill="auto"/>
            <w:vAlign w:val="center"/>
          </w:tcPr>
          <w:p w14:paraId="6A1BDE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裸岩石砾地</w:t>
            </w:r>
          </w:p>
        </w:tc>
        <w:tc>
          <w:tcPr>
            <w:tcW w:w="703" w:type="pct"/>
            <w:shd w:val="clear" w:color="auto" w:fill="auto"/>
            <w:vAlign w:val="center"/>
          </w:tcPr>
          <w:p w14:paraId="1BC9123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1.6025</w:t>
            </w:r>
          </w:p>
        </w:tc>
        <w:tc>
          <w:tcPr>
            <w:tcW w:w="795" w:type="pct"/>
            <w:shd w:val="clear" w:color="auto" w:fill="auto"/>
            <w:vAlign w:val="center"/>
          </w:tcPr>
          <w:p w14:paraId="5CC59B3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0.00</w:t>
            </w:r>
          </w:p>
        </w:tc>
        <w:tc>
          <w:tcPr>
            <w:tcW w:w="904" w:type="pct"/>
            <w:shd w:val="clear" w:color="auto" w:fill="auto"/>
            <w:vAlign w:val="center"/>
          </w:tcPr>
          <w:p w14:paraId="5AB829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eastAsia" w:cs="Times New Roman"/>
                <w:i w:val="0"/>
                <w:iCs w:val="0"/>
                <w:color w:val="000000"/>
                <w:sz w:val="18"/>
                <w:szCs w:val="18"/>
                <w:u w:val="none"/>
                <w:lang w:val="en-US" w:eastAsia="zh-CN"/>
              </w:rPr>
              <w:t>99.77</w:t>
            </w:r>
          </w:p>
        </w:tc>
      </w:tr>
      <w:tr w14:paraId="64938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300" w:type="pct"/>
            <w:shd w:val="clear" w:color="auto" w:fill="auto"/>
            <w:vAlign w:val="center"/>
          </w:tcPr>
          <w:p w14:paraId="7B4D01FB">
            <w:pPr>
              <w:keepNext w:val="0"/>
              <w:keepLines w:val="0"/>
              <w:widowControl/>
              <w:suppressLineNumbers w:val="0"/>
              <w:jc w:val="center"/>
              <w:textAlignment w:val="center"/>
              <w:rPr>
                <w:rFonts w:hint="default"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10</w:t>
            </w:r>
          </w:p>
        </w:tc>
        <w:tc>
          <w:tcPr>
            <w:tcW w:w="1229" w:type="pct"/>
            <w:shd w:val="clear" w:color="auto" w:fill="auto"/>
            <w:vAlign w:val="center"/>
          </w:tcPr>
          <w:p w14:paraId="5848ED6D">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交通运输地</w:t>
            </w:r>
          </w:p>
        </w:tc>
        <w:tc>
          <w:tcPr>
            <w:tcW w:w="392" w:type="pct"/>
            <w:shd w:val="clear" w:color="auto" w:fill="auto"/>
            <w:vAlign w:val="center"/>
          </w:tcPr>
          <w:p w14:paraId="4C79F154">
            <w:pPr>
              <w:keepNext w:val="0"/>
              <w:keepLines w:val="0"/>
              <w:widowControl/>
              <w:suppressLineNumbers w:val="0"/>
              <w:jc w:val="center"/>
              <w:textAlignment w:val="center"/>
              <w:rPr>
                <w:rFonts w:hint="default"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1006</w:t>
            </w:r>
          </w:p>
        </w:tc>
        <w:tc>
          <w:tcPr>
            <w:tcW w:w="674" w:type="pct"/>
            <w:shd w:val="clear" w:color="auto" w:fill="auto"/>
            <w:vAlign w:val="center"/>
          </w:tcPr>
          <w:p w14:paraId="28CD2868">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农村道路</w:t>
            </w:r>
          </w:p>
        </w:tc>
        <w:tc>
          <w:tcPr>
            <w:tcW w:w="703" w:type="pct"/>
            <w:shd w:val="clear" w:color="auto" w:fill="auto"/>
            <w:vAlign w:val="center"/>
          </w:tcPr>
          <w:p w14:paraId="670E1FE6">
            <w:pPr>
              <w:keepNext w:val="0"/>
              <w:keepLines w:val="0"/>
              <w:widowControl/>
              <w:suppressLineNumbers w:val="0"/>
              <w:jc w:val="center"/>
              <w:textAlignment w:val="center"/>
              <w:rPr>
                <w:rFonts w:hint="default"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0.0037</w:t>
            </w:r>
          </w:p>
        </w:tc>
        <w:tc>
          <w:tcPr>
            <w:tcW w:w="795" w:type="pct"/>
            <w:shd w:val="clear" w:color="auto" w:fill="auto"/>
            <w:vAlign w:val="center"/>
          </w:tcPr>
          <w:p w14:paraId="236F789F">
            <w:pPr>
              <w:keepNext w:val="0"/>
              <w:keepLines w:val="0"/>
              <w:widowControl/>
              <w:suppressLineNumbers w:val="0"/>
              <w:jc w:val="center"/>
              <w:textAlignment w:val="center"/>
              <w:rPr>
                <w:rFonts w:hint="default"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0.00</w:t>
            </w:r>
          </w:p>
        </w:tc>
        <w:tc>
          <w:tcPr>
            <w:tcW w:w="904" w:type="pct"/>
            <w:shd w:val="clear" w:color="auto" w:fill="auto"/>
            <w:vAlign w:val="center"/>
          </w:tcPr>
          <w:p w14:paraId="21F01D00">
            <w:pPr>
              <w:keepNext w:val="0"/>
              <w:keepLines w:val="0"/>
              <w:widowControl/>
              <w:suppressLineNumbers w:val="0"/>
              <w:jc w:val="center"/>
              <w:textAlignment w:val="center"/>
              <w:rPr>
                <w:rFonts w:hint="default"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0.23</w:t>
            </w:r>
          </w:p>
        </w:tc>
      </w:tr>
      <w:tr w14:paraId="120EE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595" w:type="pct"/>
            <w:gridSpan w:val="4"/>
            <w:shd w:val="clear" w:color="auto" w:fill="auto"/>
            <w:vAlign w:val="center"/>
          </w:tcPr>
          <w:p w14:paraId="53D7260F">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合计</w:t>
            </w:r>
          </w:p>
        </w:tc>
        <w:tc>
          <w:tcPr>
            <w:tcW w:w="703" w:type="pct"/>
            <w:shd w:val="clear" w:color="auto" w:fill="auto"/>
            <w:vAlign w:val="center"/>
          </w:tcPr>
          <w:p w14:paraId="5E8D8A9E">
            <w:pPr>
              <w:keepNext w:val="0"/>
              <w:keepLines w:val="0"/>
              <w:widowControl/>
              <w:suppressLineNumbers w:val="0"/>
              <w:jc w:val="center"/>
              <w:textAlignment w:val="center"/>
              <w:rPr>
                <w:rFonts w:hint="default" w:ascii="Times New Roman" w:hAnsi="Times New Roman" w:cs="Times New Roman"/>
                <w:b/>
                <w:bCs/>
                <w:i w:val="0"/>
                <w:iCs w:val="0"/>
                <w:color w:val="000000"/>
                <w:sz w:val="21"/>
                <w:szCs w:val="21"/>
                <w:u w:val="none"/>
                <w:lang w:val="en-US"/>
              </w:rPr>
            </w:pPr>
            <w:r>
              <w:rPr>
                <w:rFonts w:hint="eastAsia" w:cs="Times New Roman"/>
                <w:b/>
                <w:bCs/>
                <w:i w:val="0"/>
                <w:iCs w:val="0"/>
                <w:color w:val="000000"/>
                <w:kern w:val="0"/>
                <w:sz w:val="21"/>
                <w:szCs w:val="21"/>
                <w:u w:val="none"/>
                <w:lang w:val="en-US" w:eastAsia="zh-CN" w:bidi="ar"/>
              </w:rPr>
              <w:t>1.6062</w:t>
            </w:r>
          </w:p>
        </w:tc>
        <w:tc>
          <w:tcPr>
            <w:tcW w:w="795" w:type="pct"/>
            <w:shd w:val="clear" w:color="auto" w:fill="auto"/>
            <w:vAlign w:val="center"/>
          </w:tcPr>
          <w:p w14:paraId="78105AF2">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eastAsia" w:cs="Times New Roman"/>
                <w:b/>
                <w:bCs/>
                <w:i w:val="0"/>
                <w:iCs w:val="0"/>
                <w:color w:val="000000"/>
                <w:kern w:val="0"/>
                <w:sz w:val="21"/>
                <w:szCs w:val="21"/>
                <w:u w:val="none"/>
                <w:lang w:val="en-US" w:eastAsia="zh-CN" w:bidi="ar"/>
              </w:rPr>
              <w:t>0.00</w:t>
            </w:r>
          </w:p>
        </w:tc>
        <w:tc>
          <w:tcPr>
            <w:tcW w:w="904" w:type="pct"/>
            <w:shd w:val="clear" w:color="auto" w:fill="auto"/>
            <w:vAlign w:val="center"/>
          </w:tcPr>
          <w:p w14:paraId="452F9D09">
            <w:pPr>
              <w:keepNext w:val="0"/>
              <w:keepLines w:val="0"/>
              <w:widowControl/>
              <w:suppressLineNumbers w:val="0"/>
              <w:jc w:val="center"/>
              <w:textAlignment w:val="center"/>
              <w:rPr>
                <w:rFonts w:hint="default" w:ascii="Times New Roman" w:hAnsi="Times New Roman"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100</w:t>
            </w:r>
          </w:p>
        </w:tc>
      </w:tr>
    </w:tbl>
    <w:p w14:paraId="78D800A8">
      <w:pPr>
        <w:keepNext w:val="0"/>
        <w:keepLines w:val="0"/>
        <w:pageBreakBefore w:val="0"/>
        <w:widowControl/>
        <w:wordWrap/>
        <w:overflowPunct/>
        <w:topLinePunct w:val="0"/>
        <w:autoSpaceDE w:val="0"/>
        <w:autoSpaceDN w:val="0"/>
        <w:bidi w:val="0"/>
        <w:snapToGrid w:val="0"/>
        <w:spacing w:line="560" w:lineRule="exact"/>
        <w:ind w:firstLine="640" w:firstLineChars="200"/>
        <w:outlineLvl w:val="2"/>
        <w:rPr>
          <w:rFonts w:hint="default" w:ascii="方正楷体_GBK" w:hAnsi="方正楷体_GBK" w:eastAsia="方正楷体_GBK" w:cs="方正楷体_GBK"/>
          <w:sz w:val="32"/>
          <w:szCs w:val="32"/>
          <w:lang w:eastAsia="zh-CN"/>
        </w:rPr>
      </w:pPr>
      <w:r>
        <w:rPr>
          <w:rFonts w:hint="default" w:ascii="方正楷体_GBK" w:hAnsi="方正楷体_GBK" w:eastAsia="方正楷体_GBK" w:cs="方正楷体_GBK"/>
          <w:sz w:val="32"/>
          <w:szCs w:val="32"/>
          <w:lang w:eastAsia="zh-CN"/>
        </w:rPr>
        <w:t>1.2.3土地</w:t>
      </w:r>
      <w:r>
        <w:rPr>
          <w:rFonts w:hint="eastAsia" w:ascii="方正楷体_GBK" w:hAnsi="方正楷体_GBK" w:eastAsia="方正楷体_GBK" w:cs="方正楷体_GBK"/>
          <w:sz w:val="32"/>
          <w:szCs w:val="32"/>
          <w:lang w:val="en-US" w:eastAsia="zh-CN"/>
        </w:rPr>
        <w:t>使用</w:t>
      </w:r>
      <w:r>
        <w:rPr>
          <w:rFonts w:hint="default" w:ascii="方正楷体_GBK" w:hAnsi="方正楷体_GBK" w:eastAsia="方正楷体_GBK" w:cs="方正楷体_GBK"/>
          <w:sz w:val="32"/>
          <w:szCs w:val="32"/>
          <w:lang w:eastAsia="zh-CN"/>
        </w:rPr>
        <w:t>情况</w:t>
      </w:r>
    </w:p>
    <w:bookmarkEnd w:id="18"/>
    <w:p w14:paraId="3A2B868D">
      <w:pPr>
        <w:keepNext w:val="0"/>
        <w:keepLines w:val="0"/>
        <w:pageBreakBefore w:val="0"/>
        <w:widowControl/>
        <w:suppressLineNumbers w:val="0"/>
        <w:kinsoku/>
        <w:wordWrap w:val="0"/>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新疆和静县乌都乃布鲁克金铜多金属矿普查项目还未开展野外工作，已损毁土地面积0.00公顷，拟损毁土地1.6062公顷，本次共申请宗地二宗，其中宗地一面积0.6495公顷（9.7425亩）、宗地二面积0.9567公顷（14.3505亩）。裸岩石砾地区损毁方式主要为挖损/压占，农村道路区损毁方式主要为压占，损毁程度为轻度，具体见表1-2。</w:t>
      </w:r>
    </w:p>
    <w:p w14:paraId="3A2053B1">
      <w:pPr>
        <w:jc w:val="center"/>
        <w:rPr>
          <w:rFonts w:eastAsia="黑体"/>
        </w:rPr>
      </w:pPr>
    </w:p>
    <w:p w14:paraId="1E2E58C9">
      <w:pPr>
        <w:jc w:val="center"/>
        <w:rPr>
          <w:rFonts w:eastAsia="黑体"/>
        </w:rPr>
      </w:pPr>
    </w:p>
    <w:p w14:paraId="2A1AC0EF">
      <w:pPr>
        <w:jc w:val="center"/>
        <w:rPr>
          <w:rFonts w:eastAsia="黑体"/>
        </w:rPr>
      </w:pPr>
    </w:p>
    <w:p w14:paraId="2037FA68">
      <w:pPr>
        <w:jc w:val="center"/>
        <w:rPr>
          <w:rFonts w:eastAsia="黑体"/>
        </w:rPr>
      </w:pPr>
      <w:r>
        <w:rPr>
          <w:rFonts w:eastAsia="黑体"/>
        </w:rPr>
        <w:t>表</w:t>
      </w:r>
      <w:r>
        <w:rPr>
          <w:rFonts w:eastAsia="黑体"/>
          <w:kern w:val="0"/>
          <w:szCs w:val="21"/>
        </w:rPr>
        <w:t>1-</w:t>
      </w:r>
      <w:r>
        <w:rPr>
          <w:rFonts w:hint="eastAsia" w:eastAsia="黑体"/>
          <w:kern w:val="0"/>
          <w:szCs w:val="21"/>
          <w:lang w:val="en-US" w:eastAsia="zh-CN"/>
        </w:rPr>
        <w:t>2</w:t>
      </w:r>
      <w:r>
        <w:rPr>
          <w:rFonts w:eastAsia="黑体"/>
          <w:kern w:val="0"/>
          <w:szCs w:val="21"/>
        </w:rPr>
        <w:t xml:space="preserve">   项目区</w:t>
      </w:r>
      <w:r>
        <w:rPr>
          <w:rFonts w:eastAsia="黑体"/>
        </w:rPr>
        <w:t>土地损毁情况表</w:t>
      </w:r>
    </w:p>
    <w:tbl>
      <w:tblPr>
        <w:tblStyle w:val="11"/>
        <w:tblW w:w="512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46"/>
        <w:gridCol w:w="1541"/>
        <w:gridCol w:w="1976"/>
        <w:gridCol w:w="1666"/>
        <w:gridCol w:w="1212"/>
        <w:gridCol w:w="1051"/>
      </w:tblGrid>
      <w:tr w14:paraId="57F22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30" w:hRule="atLeast"/>
        </w:trPr>
        <w:tc>
          <w:tcPr>
            <w:tcW w:w="993" w:type="pct"/>
            <w:tcBorders>
              <w:top w:val="single" w:color="auto" w:sz="4" w:space="0"/>
              <w:left w:val="single" w:color="auto" w:sz="4" w:space="0"/>
              <w:bottom w:val="single" w:color="auto" w:sz="4" w:space="0"/>
              <w:right w:val="single" w:color="auto" w:sz="4" w:space="0"/>
            </w:tcBorders>
            <w:noWrap w:val="0"/>
            <w:vAlign w:val="center"/>
          </w:tcPr>
          <w:p w14:paraId="6B4A2A4E">
            <w:pPr>
              <w:keepNext w:val="0"/>
              <w:keepLines w:val="0"/>
              <w:widowControl/>
              <w:suppressLineNumbers w:val="0"/>
              <w:jc w:val="center"/>
              <w:textAlignment w:val="center"/>
              <w:rPr>
                <w:rFonts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毁分区</w:t>
            </w:r>
          </w:p>
        </w:tc>
        <w:tc>
          <w:tcPr>
            <w:tcW w:w="829" w:type="pct"/>
            <w:tcBorders>
              <w:top w:val="single" w:color="auto" w:sz="4" w:space="0"/>
              <w:left w:val="single" w:color="auto" w:sz="4" w:space="0"/>
              <w:bottom w:val="single" w:color="auto" w:sz="4" w:space="0"/>
              <w:right w:val="single" w:color="auto" w:sz="4" w:space="0"/>
            </w:tcBorders>
            <w:noWrap w:val="0"/>
            <w:vAlign w:val="center"/>
          </w:tcPr>
          <w:p w14:paraId="64CB1A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二级地类</w:t>
            </w:r>
          </w:p>
        </w:tc>
        <w:tc>
          <w:tcPr>
            <w:tcW w:w="1063" w:type="pct"/>
            <w:tcBorders>
              <w:top w:val="single" w:color="auto" w:sz="4" w:space="0"/>
              <w:left w:val="single" w:color="auto" w:sz="4" w:space="0"/>
              <w:bottom w:val="single" w:color="auto" w:sz="4" w:space="0"/>
              <w:right w:val="single" w:color="auto" w:sz="4" w:space="0"/>
            </w:tcBorders>
            <w:noWrap w:val="0"/>
            <w:vAlign w:val="center"/>
          </w:tcPr>
          <w:p w14:paraId="6E4767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拟损毁面积（hm</w:t>
            </w:r>
            <w:r>
              <w:rPr>
                <w:rFonts w:hint="eastAsia" w:ascii="仿宋" w:hAnsi="仿宋" w:eastAsia="仿宋" w:cs="仿宋"/>
                <w:i w:val="0"/>
                <w:iCs w:val="0"/>
                <w:color w:val="000000"/>
                <w:kern w:val="0"/>
                <w:sz w:val="18"/>
                <w:szCs w:val="18"/>
                <w:u w:val="none"/>
                <w:vertAlign w:val="superscript"/>
                <w:lang w:val="en-US" w:eastAsia="zh-CN" w:bidi="ar"/>
              </w:rPr>
              <w:t>2）</w:t>
            </w:r>
          </w:p>
        </w:tc>
        <w:tc>
          <w:tcPr>
            <w:tcW w:w="896" w:type="pct"/>
            <w:tcBorders>
              <w:top w:val="single" w:color="auto" w:sz="4" w:space="0"/>
              <w:left w:val="single" w:color="auto" w:sz="4" w:space="0"/>
              <w:bottom w:val="single" w:color="auto" w:sz="4" w:space="0"/>
              <w:right w:val="single" w:color="auto" w:sz="4" w:space="0"/>
            </w:tcBorders>
            <w:noWrap w:val="0"/>
            <w:vAlign w:val="center"/>
          </w:tcPr>
          <w:p w14:paraId="798FF80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已损毁面积（hm</w:t>
            </w:r>
            <w:r>
              <w:rPr>
                <w:rFonts w:hint="eastAsia" w:ascii="仿宋" w:hAnsi="仿宋" w:eastAsia="仿宋" w:cs="仿宋"/>
                <w:i w:val="0"/>
                <w:iCs w:val="0"/>
                <w:color w:val="000000"/>
                <w:kern w:val="0"/>
                <w:sz w:val="18"/>
                <w:szCs w:val="18"/>
                <w:u w:val="none"/>
                <w:vertAlign w:val="superscript"/>
                <w:lang w:val="en-US" w:eastAsia="zh-CN" w:bidi="ar"/>
              </w:rPr>
              <w:t>2）</w:t>
            </w:r>
          </w:p>
        </w:tc>
        <w:tc>
          <w:tcPr>
            <w:tcW w:w="652" w:type="pct"/>
            <w:tcBorders>
              <w:top w:val="single" w:color="auto" w:sz="4" w:space="0"/>
              <w:left w:val="single" w:color="auto" w:sz="4" w:space="0"/>
              <w:bottom w:val="single" w:color="auto" w:sz="4" w:space="0"/>
              <w:right w:val="single" w:color="auto" w:sz="4" w:space="0"/>
            </w:tcBorders>
            <w:noWrap w:val="0"/>
            <w:vAlign w:val="center"/>
          </w:tcPr>
          <w:p w14:paraId="4E53542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主要损毁</w:t>
            </w:r>
          </w:p>
          <w:p w14:paraId="7C3F3D51">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方式</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5B295410">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lang w:val="en-US" w:eastAsia="zh-CN" w:bidi="ar"/>
              </w:rPr>
              <w:t>损毁程度</w:t>
            </w:r>
          </w:p>
        </w:tc>
      </w:tr>
      <w:tr w14:paraId="10519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993" w:type="pct"/>
            <w:vMerge w:val="restart"/>
            <w:tcBorders>
              <w:top w:val="single" w:color="auto" w:sz="4" w:space="0"/>
              <w:left w:val="single" w:color="auto" w:sz="4" w:space="0"/>
              <w:bottom w:val="single" w:color="auto" w:sz="4" w:space="0"/>
              <w:right w:val="single" w:color="auto" w:sz="4" w:space="0"/>
            </w:tcBorders>
            <w:noWrap w:val="0"/>
            <w:vAlign w:val="center"/>
          </w:tcPr>
          <w:p w14:paraId="214D5335">
            <w:pPr>
              <w:jc w:val="center"/>
              <w:rPr>
                <w:rFonts w:hint="default"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探矿道路</w:t>
            </w:r>
          </w:p>
        </w:tc>
        <w:tc>
          <w:tcPr>
            <w:tcW w:w="829" w:type="pct"/>
            <w:tcBorders>
              <w:top w:val="single" w:color="auto" w:sz="4" w:space="0"/>
              <w:left w:val="single" w:color="auto" w:sz="4" w:space="0"/>
              <w:bottom w:val="single" w:color="auto" w:sz="4" w:space="0"/>
              <w:right w:val="single" w:color="auto" w:sz="4" w:space="0"/>
            </w:tcBorders>
            <w:noWrap w:val="0"/>
            <w:vAlign w:val="center"/>
          </w:tcPr>
          <w:p w14:paraId="21C6DC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裸岩石砾地</w:t>
            </w:r>
          </w:p>
        </w:tc>
        <w:tc>
          <w:tcPr>
            <w:tcW w:w="1063" w:type="pct"/>
            <w:tcBorders>
              <w:top w:val="single" w:color="auto" w:sz="4" w:space="0"/>
              <w:left w:val="single" w:color="auto" w:sz="4" w:space="0"/>
              <w:bottom w:val="single" w:color="auto" w:sz="4" w:space="0"/>
              <w:right w:val="single" w:color="auto" w:sz="4" w:space="0"/>
            </w:tcBorders>
            <w:noWrap w:val="0"/>
            <w:vAlign w:val="center"/>
          </w:tcPr>
          <w:p w14:paraId="0E0BEDAA">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1.6025</w:t>
            </w:r>
          </w:p>
        </w:tc>
        <w:tc>
          <w:tcPr>
            <w:tcW w:w="896" w:type="pct"/>
            <w:tcBorders>
              <w:top w:val="single" w:color="auto" w:sz="4" w:space="0"/>
              <w:left w:val="single" w:color="auto" w:sz="4" w:space="0"/>
              <w:bottom w:val="single" w:color="auto" w:sz="4" w:space="0"/>
              <w:right w:val="single" w:color="auto" w:sz="4" w:space="0"/>
            </w:tcBorders>
            <w:noWrap w:val="0"/>
            <w:vAlign w:val="center"/>
          </w:tcPr>
          <w:p w14:paraId="603C2723">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0.0000</w:t>
            </w:r>
          </w:p>
        </w:tc>
        <w:tc>
          <w:tcPr>
            <w:tcW w:w="652" w:type="pct"/>
            <w:tcBorders>
              <w:top w:val="single" w:color="auto" w:sz="4" w:space="0"/>
              <w:left w:val="single" w:color="auto" w:sz="4" w:space="0"/>
              <w:bottom w:val="single" w:color="auto" w:sz="4" w:space="0"/>
              <w:right w:val="single" w:color="auto" w:sz="4" w:space="0"/>
            </w:tcBorders>
            <w:noWrap w:val="0"/>
            <w:vAlign w:val="center"/>
          </w:tcPr>
          <w:p w14:paraId="6EB911F1">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挖损/压占</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14B0D7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轻度</w:t>
            </w:r>
          </w:p>
        </w:tc>
      </w:tr>
      <w:tr w14:paraId="23A22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993" w:type="pct"/>
            <w:vMerge w:val="continue"/>
            <w:tcBorders>
              <w:top w:val="single" w:color="auto" w:sz="4" w:space="0"/>
              <w:left w:val="single" w:color="auto" w:sz="4" w:space="0"/>
              <w:bottom w:val="single" w:color="auto" w:sz="4" w:space="0"/>
              <w:right w:val="single" w:color="auto" w:sz="4" w:space="0"/>
            </w:tcBorders>
            <w:noWrap w:val="0"/>
            <w:vAlign w:val="center"/>
          </w:tcPr>
          <w:p w14:paraId="66E8CAA9">
            <w:pPr>
              <w:jc w:val="center"/>
              <w:rPr>
                <w:rFonts w:hint="eastAsia" w:ascii="仿宋" w:hAnsi="仿宋" w:eastAsia="仿宋" w:cs="仿宋"/>
                <w:i w:val="0"/>
                <w:iCs w:val="0"/>
                <w:color w:val="000000"/>
                <w:sz w:val="18"/>
                <w:szCs w:val="18"/>
                <w:u w:val="none"/>
                <w:lang w:val="en-US" w:eastAsia="zh-CN"/>
              </w:rPr>
            </w:pPr>
          </w:p>
        </w:tc>
        <w:tc>
          <w:tcPr>
            <w:tcW w:w="829" w:type="pct"/>
            <w:tcBorders>
              <w:top w:val="single" w:color="auto" w:sz="4" w:space="0"/>
              <w:left w:val="single" w:color="auto" w:sz="4" w:space="0"/>
              <w:bottom w:val="single" w:color="auto" w:sz="4" w:space="0"/>
              <w:right w:val="single" w:color="auto" w:sz="4" w:space="0"/>
            </w:tcBorders>
            <w:noWrap w:val="0"/>
            <w:vAlign w:val="center"/>
          </w:tcPr>
          <w:p w14:paraId="36255EDF">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农村道路</w:t>
            </w:r>
          </w:p>
        </w:tc>
        <w:tc>
          <w:tcPr>
            <w:tcW w:w="1063" w:type="pct"/>
            <w:tcBorders>
              <w:top w:val="single" w:color="auto" w:sz="4" w:space="0"/>
              <w:left w:val="single" w:color="auto" w:sz="4" w:space="0"/>
              <w:bottom w:val="single" w:color="auto" w:sz="4" w:space="0"/>
              <w:right w:val="single" w:color="auto" w:sz="4" w:space="0"/>
            </w:tcBorders>
            <w:noWrap w:val="0"/>
            <w:vAlign w:val="center"/>
          </w:tcPr>
          <w:p w14:paraId="5D6AD633">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0.0037</w:t>
            </w:r>
          </w:p>
        </w:tc>
        <w:tc>
          <w:tcPr>
            <w:tcW w:w="896" w:type="pct"/>
            <w:tcBorders>
              <w:top w:val="single" w:color="auto" w:sz="4" w:space="0"/>
              <w:left w:val="single" w:color="auto" w:sz="4" w:space="0"/>
              <w:bottom w:val="single" w:color="auto" w:sz="4" w:space="0"/>
              <w:right w:val="single" w:color="auto" w:sz="4" w:space="0"/>
            </w:tcBorders>
            <w:noWrap w:val="0"/>
            <w:vAlign w:val="center"/>
          </w:tcPr>
          <w:p w14:paraId="6E8980A5">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0.0000</w:t>
            </w:r>
          </w:p>
        </w:tc>
        <w:tc>
          <w:tcPr>
            <w:tcW w:w="652" w:type="pct"/>
            <w:tcBorders>
              <w:top w:val="single" w:color="auto" w:sz="4" w:space="0"/>
              <w:left w:val="single" w:color="auto" w:sz="4" w:space="0"/>
              <w:bottom w:val="single" w:color="auto" w:sz="4" w:space="0"/>
              <w:right w:val="single" w:color="auto" w:sz="4" w:space="0"/>
            </w:tcBorders>
            <w:noWrap w:val="0"/>
            <w:vAlign w:val="center"/>
          </w:tcPr>
          <w:p w14:paraId="0BB6B177">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压占</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34C2C0A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轻度</w:t>
            </w:r>
          </w:p>
        </w:tc>
      </w:tr>
      <w:tr w14:paraId="7203B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822" w:type="pct"/>
            <w:gridSpan w:val="2"/>
            <w:tcBorders>
              <w:top w:val="single" w:color="auto" w:sz="4" w:space="0"/>
              <w:left w:val="single" w:color="auto" w:sz="4" w:space="0"/>
              <w:bottom w:val="single" w:color="auto" w:sz="4" w:space="0"/>
              <w:right w:val="single" w:color="auto" w:sz="4" w:space="0"/>
            </w:tcBorders>
            <w:noWrap w:val="0"/>
            <w:vAlign w:val="center"/>
          </w:tcPr>
          <w:p w14:paraId="1A97F8FC">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合计</w:t>
            </w:r>
          </w:p>
        </w:tc>
        <w:tc>
          <w:tcPr>
            <w:tcW w:w="1063" w:type="pct"/>
            <w:tcBorders>
              <w:top w:val="single" w:color="auto" w:sz="4" w:space="0"/>
              <w:left w:val="single" w:color="auto" w:sz="4" w:space="0"/>
              <w:bottom w:val="single" w:color="auto" w:sz="4" w:space="0"/>
              <w:right w:val="single" w:color="auto" w:sz="4" w:space="0"/>
            </w:tcBorders>
            <w:noWrap w:val="0"/>
            <w:vAlign w:val="center"/>
          </w:tcPr>
          <w:p w14:paraId="731C1664">
            <w:pPr>
              <w:keepNext w:val="0"/>
              <w:keepLines w:val="0"/>
              <w:widowControl/>
              <w:suppressLineNumbers w:val="0"/>
              <w:jc w:val="center"/>
              <w:textAlignment w:val="center"/>
              <w:rPr>
                <w:rFonts w:hint="default" w:ascii="仿宋" w:hAnsi="仿宋" w:eastAsia="仿宋" w:cs="仿宋"/>
                <w:b/>
                <w:bCs/>
                <w:i w:val="0"/>
                <w:iCs w:val="0"/>
                <w:color w:val="000000"/>
                <w:sz w:val="18"/>
                <w:szCs w:val="18"/>
                <w:u w:val="none"/>
                <w:lang w:val="en-US" w:eastAsia="zh-CN"/>
              </w:rPr>
            </w:pPr>
            <w:r>
              <w:rPr>
                <w:rFonts w:hint="eastAsia" w:ascii="仿宋" w:hAnsi="仿宋" w:eastAsia="仿宋" w:cs="仿宋"/>
                <w:b/>
                <w:bCs/>
                <w:i w:val="0"/>
                <w:iCs w:val="0"/>
                <w:color w:val="000000"/>
                <w:sz w:val="18"/>
                <w:szCs w:val="18"/>
                <w:u w:val="none"/>
                <w:lang w:val="en-US" w:eastAsia="zh-CN"/>
              </w:rPr>
              <w:t>1.6062</w:t>
            </w:r>
          </w:p>
        </w:tc>
        <w:tc>
          <w:tcPr>
            <w:tcW w:w="896" w:type="pct"/>
            <w:tcBorders>
              <w:top w:val="single" w:color="auto" w:sz="4" w:space="0"/>
              <w:left w:val="single" w:color="auto" w:sz="4" w:space="0"/>
              <w:bottom w:val="single" w:color="auto" w:sz="4" w:space="0"/>
              <w:right w:val="single" w:color="auto" w:sz="4" w:space="0"/>
            </w:tcBorders>
            <w:noWrap w:val="0"/>
            <w:vAlign w:val="center"/>
          </w:tcPr>
          <w:p w14:paraId="30DE9D6E">
            <w:pPr>
              <w:keepNext w:val="0"/>
              <w:keepLines w:val="0"/>
              <w:widowControl/>
              <w:suppressLineNumbers w:val="0"/>
              <w:jc w:val="center"/>
              <w:textAlignment w:val="center"/>
              <w:rPr>
                <w:rFonts w:hint="default"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0.0000</w:t>
            </w:r>
          </w:p>
        </w:tc>
        <w:tc>
          <w:tcPr>
            <w:tcW w:w="652" w:type="pct"/>
            <w:tcBorders>
              <w:top w:val="single" w:color="auto" w:sz="4" w:space="0"/>
              <w:left w:val="single" w:color="auto" w:sz="4" w:space="0"/>
              <w:bottom w:val="single" w:color="auto" w:sz="4" w:space="0"/>
              <w:right w:val="single" w:color="auto" w:sz="4" w:space="0"/>
            </w:tcBorders>
            <w:noWrap w:val="0"/>
            <w:vAlign w:val="center"/>
          </w:tcPr>
          <w:p w14:paraId="46C87D28">
            <w:pPr>
              <w:keepNext w:val="0"/>
              <w:keepLines w:val="0"/>
              <w:widowControl/>
              <w:suppressLineNumbers w:val="0"/>
              <w:jc w:val="center"/>
              <w:textAlignment w:val="center"/>
              <w:rPr>
                <w:rFonts w:hint="default" w:ascii="仿宋" w:hAnsi="仿宋" w:eastAsia="仿宋" w:cs="仿宋"/>
                <w:b/>
                <w:bCs/>
                <w:i w:val="0"/>
                <w:iCs w:val="0"/>
                <w:color w:val="000000"/>
                <w:sz w:val="18"/>
                <w:szCs w:val="18"/>
                <w:u w:val="none"/>
                <w:lang w:val="en-US"/>
              </w:rPr>
            </w:pPr>
          </w:p>
        </w:tc>
        <w:tc>
          <w:tcPr>
            <w:tcW w:w="565" w:type="pct"/>
            <w:tcBorders>
              <w:top w:val="single" w:color="auto" w:sz="4" w:space="0"/>
              <w:left w:val="single" w:color="auto" w:sz="4" w:space="0"/>
              <w:bottom w:val="single" w:color="auto" w:sz="4" w:space="0"/>
              <w:right w:val="single" w:color="auto" w:sz="4" w:space="0"/>
            </w:tcBorders>
            <w:noWrap/>
            <w:vAlign w:val="center"/>
          </w:tcPr>
          <w:p w14:paraId="0C353551">
            <w:pPr>
              <w:rPr>
                <w:rFonts w:hint="eastAsia" w:ascii="宋体" w:hAnsi="宋体" w:eastAsia="宋体" w:cs="宋体"/>
                <w:b/>
                <w:bCs/>
                <w:i w:val="0"/>
                <w:iCs w:val="0"/>
                <w:color w:val="000000"/>
                <w:sz w:val="24"/>
                <w:szCs w:val="24"/>
                <w:u w:val="none"/>
              </w:rPr>
            </w:pPr>
          </w:p>
        </w:tc>
      </w:tr>
    </w:tbl>
    <w:p w14:paraId="6D897684">
      <w:pPr>
        <w:jc w:val="both"/>
        <w:rPr>
          <w:rFonts w:ascii="Times New Roman" w:hAnsi="Times New Roman" w:eastAsia="黑体" w:cs="Times New Roman"/>
          <w:sz w:val="30"/>
          <w:szCs w:val="30"/>
          <w:lang w:eastAsia="zh-CN"/>
        </w:rPr>
      </w:pPr>
    </w:p>
    <w:p w14:paraId="25876755">
      <w:pPr>
        <w:keepNext w:val="0"/>
        <w:keepLines w:val="0"/>
        <w:pageBreakBefore w:val="0"/>
        <w:widowControl/>
        <w:wordWrap/>
        <w:overflowPunct/>
        <w:topLinePunct w:val="0"/>
        <w:bidi w:val="0"/>
        <w:adjustRightInd w:val="0"/>
        <w:spacing w:line="560" w:lineRule="exact"/>
        <w:ind w:firstLine="640" w:firstLineChars="200"/>
        <w:rPr>
          <w:rFonts w:hint="default" w:ascii="Times New Roman" w:hAnsi="Times New Roman" w:eastAsia="方正黑体_GBK" w:cs="Times New Roman"/>
          <w:b w:val="0"/>
          <w:bCs w:val="0"/>
          <w:snapToGrid w:val="0"/>
          <w:color w:val="000000"/>
          <w:kern w:val="0"/>
          <w:sz w:val="32"/>
          <w:szCs w:val="32"/>
          <w:lang w:val="en-US" w:eastAsia="zh-CN" w:bidi="ar-SA"/>
        </w:rPr>
      </w:pPr>
      <w:r>
        <w:rPr>
          <w:rFonts w:hint="default" w:ascii="Times New Roman" w:hAnsi="Times New Roman" w:eastAsia="方正黑体_GBK" w:cs="Times New Roman"/>
          <w:b w:val="0"/>
          <w:bCs w:val="0"/>
          <w:snapToGrid w:val="0"/>
          <w:color w:val="000000"/>
          <w:kern w:val="0"/>
          <w:sz w:val="32"/>
          <w:szCs w:val="32"/>
          <w:lang w:val="en-US" w:eastAsia="zh-CN" w:bidi="ar-SA"/>
        </w:rPr>
        <w:t>1.2.4土地复垦目标</w:t>
      </w:r>
    </w:p>
    <w:p w14:paraId="28D99083">
      <w:pPr>
        <w:keepNext w:val="0"/>
        <w:keepLines w:val="0"/>
        <w:pageBreakBefore w:val="0"/>
        <w:widowControl/>
        <w:suppressLineNumbers w:val="0"/>
        <w:kinsoku/>
        <w:wordWrap w:val="0"/>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在尽量确保复垦方向与土地利用总体规划、周边景观保持一致的情况下，根据土地复垦适宜性评价结果，结合项目区自然环境特征，确定项目区最终的土地复垦方向、复垦面积及土地复垦率。本方案土地复垦目标为恢复原有地类，本方案复垦区责任范围面积1.6062公顷，拟复垦土地面积1.6062公顷，土地复垦率为100%。本方案复垦前后土地利用结构调整表见1-3。</w:t>
      </w:r>
    </w:p>
    <w:p w14:paraId="568968E0">
      <w:pPr>
        <w:jc w:val="center"/>
        <w:rPr>
          <w:rFonts w:eastAsia="黑体"/>
        </w:rPr>
      </w:pPr>
      <w:r>
        <w:rPr>
          <w:rFonts w:eastAsia="黑体"/>
        </w:rPr>
        <w:t>表1-</w:t>
      </w:r>
      <w:r>
        <w:rPr>
          <w:rFonts w:hint="eastAsia" w:eastAsia="黑体"/>
          <w:lang w:val="en-US" w:eastAsia="zh-CN"/>
        </w:rPr>
        <w:t>3</w:t>
      </w:r>
      <w:r>
        <w:rPr>
          <w:rFonts w:eastAsia="黑体"/>
        </w:rPr>
        <w:t xml:space="preserve">   复垦前后土地利用结构调整表</w:t>
      </w:r>
    </w:p>
    <w:tbl>
      <w:tblPr>
        <w:tblStyle w:val="11"/>
        <w:tblW w:w="9437"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272"/>
        <w:gridCol w:w="1773"/>
        <w:gridCol w:w="1999"/>
        <w:gridCol w:w="1999"/>
        <w:gridCol w:w="1394"/>
      </w:tblGrid>
      <w:tr w14:paraId="783510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03" w:hRule="atLeast"/>
        </w:trPr>
        <w:tc>
          <w:tcPr>
            <w:tcW w:w="2272" w:type="dxa"/>
            <w:vAlign w:val="center"/>
          </w:tcPr>
          <w:p w14:paraId="35D7022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bookmarkStart w:id="22" w:name="_Hlk108276849"/>
            <w:r>
              <w:rPr>
                <w:rFonts w:hint="eastAsia" w:ascii="仿宋" w:hAnsi="仿宋" w:eastAsia="仿宋" w:cs="仿宋"/>
                <w:i w:val="0"/>
                <w:iCs w:val="0"/>
                <w:color w:val="000000"/>
                <w:kern w:val="0"/>
                <w:sz w:val="18"/>
                <w:szCs w:val="18"/>
                <w:u w:val="none"/>
                <w:lang w:val="en-US" w:eastAsia="zh-CN" w:bidi="ar"/>
              </w:rPr>
              <w:t>复垦前二级地类</w:t>
            </w:r>
          </w:p>
        </w:tc>
        <w:tc>
          <w:tcPr>
            <w:tcW w:w="1773" w:type="dxa"/>
            <w:vAlign w:val="center"/>
          </w:tcPr>
          <w:p w14:paraId="09FE0EA0">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复垦前/hm</w:t>
            </w:r>
            <w:r>
              <w:rPr>
                <w:rFonts w:hint="eastAsia" w:ascii="仿宋" w:hAnsi="仿宋" w:eastAsia="仿宋" w:cs="仿宋"/>
                <w:i w:val="0"/>
                <w:iCs w:val="0"/>
                <w:color w:val="000000"/>
                <w:kern w:val="0"/>
                <w:sz w:val="18"/>
                <w:szCs w:val="18"/>
                <w:u w:val="none"/>
                <w:vertAlign w:val="superscript"/>
                <w:lang w:val="en-US" w:eastAsia="zh-CN" w:bidi="ar"/>
              </w:rPr>
              <w:t>2</w:t>
            </w:r>
          </w:p>
        </w:tc>
        <w:tc>
          <w:tcPr>
            <w:tcW w:w="1999" w:type="dxa"/>
            <w:vAlign w:val="center"/>
          </w:tcPr>
          <w:p w14:paraId="2FA3367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复垦后二级地类</w:t>
            </w:r>
          </w:p>
        </w:tc>
        <w:tc>
          <w:tcPr>
            <w:tcW w:w="1999" w:type="dxa"/>
            <w:vAlign w:val="center"/>
          </w:tcPr>
          <w:p w14:paraId="3504911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复垦后/hm</w:t>
            </w:r>
            <w:r>
              <w:rPr>
                <w:rFonts w:hint="eastAsia" w:ascii="仿宋" w:hAnsi="仿宋" w:eastAsia="仿宋" w:cs="仿宋"/>
                <w:i w:val="0"/>
                <w:iCs w:val="0"/>
                <w:color w:val="000000"/>
                <w:kern w:val="0"/>
                <w:sz w:val="18"/>
                <w:szCs w:val="18"/>
                <w:u w:val="none"/>
                <w:vertAlign w:val="superscript"/>
                <w:lang w:val="en-US" w:eastAsia="zh-CN" w:bidi="ar"/>
              </w:rPr>
              <w:t>2</w:t>
            </w:r>
          </w:p>
        </w:tc>
        <w:tc>
          <w:tcPr>
            <w:tcW w:w="1394" w:type="dxa"/>
            <w:vAlign w:val="center"/>
          </w:tcPr>
          <w:p w14:paraId="74B0876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变幅/%</w:t>
            </w:r>
          </w:p>
        </w:tc>
      </w:tr>
      <w:tr w14:paraId="7DD2D2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99" w:hRule="atLeast"/>
        </w:trPr>
        <w:tc>
          <w:tcPr>
            <w:tcW w:w="2272" w:type="dxa"/>
            <w:vAlign w:val="center"/>
          </w:tcPr>
          <w:p w14:paraId="41A5239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裸岩石砾地</w:t>
            </w:r>
          </w:p>
        </w:tc>
        <w:tc>
          <w:tcPr>
            <w:tcW w:w="1773" w:type="dxa"/>
            <w:vAlign w:val="center"/>
          </w:tcPr>
          <w:p w14:paraId="6284CC96">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1.6025</w:t>
            </w:r>
          </w:p>
        </w:tc>
        <w:tc>
          <w:tcPr>
            <w:tcW w:w="1999" w:type="dxa"/>
            <w:vAlign w:val="center"/>
          </w:tcPr>
          <w:p w14:paraId="118C745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裸岩石砾地</w:t>
            </w:r>
          </w:p>
        </w:tc>
        <w:tc>
          <w:tcPr>
            <w:tcW w:w="1999" w:type="dxa"/>
            <w:vAlign w:val="center"/>
          </w:tcPr>
          <w:p w14:paraId="36DE4349">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1.6025</w:t>
            </w:r>
          </w:p>
        </w:tc>
        <w:tc>
          <w:tcPr>
            <w:tcW w:w="1394" w:type="dxa"/>
            <w:vAlign w:val="center"/>
          </w:tcPr>
          <w:p w14:paraId="2F63593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0%</w:t>
            </w:r>
          </w:p>
        </w:tc>
      </w:tr>
      <w:tr w14:paraId="2A62A6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2" w:hRule="atLeast"/>
        </w:trPr>
        <w:tc>
          <w:tcPr>
            <w:tcW w:w="2272" w:type="dxa"/>
            <w:vAlign w:val="center"/>
          </w:tcPr>
          <w:p w14:paraId="7E16946F">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交通运输地</w:t>
            </w:r>
          </w:p>
        </w:tc>
        <w:tc>
          <w:tcPr>
            <w:tcW w:w="1773" w:type="dxa"/>
            <w:vAlign w:val="center"/>
          </w:tcPr>
          <w:p w14:paraId="69396293">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0.0037</w:t>
            </w:r>
          </w:p>
        </w:tc>
        <w:tc>
          <w:tcPr>
            <w:tcW w:w="1999" w:type="dxa"/>
            <w:vAlign w:val="center"/>
          </w:tcPr>
          <w:p w14:paraId="618E0438">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交通运输地</w:t>
            </w:r>
          </w:p>
        </w:tc>
        <w:tc>
          <w:tcPr>
            <w:tcW w:w="1999" w:type="dxa"/>
            <w:vAlign w:val="center"/>
          </w:tcPr>
          <w:p w14:paraId="01367AB8">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0.0037</w:t>
            </w:r>
          </w:p>
        </w:tc>
        <w:tc>
          <w:tcPr>
            <w:tcW w:w="1394" w:type="dxa"/>
            <w:vAlign w:val="center"/>
          </w:tcPr>
          <w:p w14:paraId="5174ED2A">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0%</w:t>
            </w:r>
          </w:p>
        </w:tc>
      </w:tr>
      <w:bookmarkEnd w:id="22"/>
    </w:tbl>
    <w:p w14:paraId="48210483">
      <w:pPr>
        <w:keepNext w:val="0"/>
        <w:keepLines w:val="0"/>
        <w:pageBreakBefore w:val="0"/>
        <w:wordWrap/>
        <w:overflowPunct/>
        <w:topLinePunct w:val="0"/>
        <w:bidi w:val="0"/>
        <w:adjustRightInd w:val="0"/>
        <w:spacing w:line="560" w:lineRule="exact"/>
        <w:rPr>
          <w:rFonts w:hint="default" w:ascii="Times New Roman" w:hAnsi="Times New Roman" w:eastAsia="方正仿宋_GBK" w:cs="Times New Roman"/>
          <w:b/>
          <w:sz w:val="32"/>
          <w:szCs w:val="32"/>
          <w:lang w:val="en-US" w:eastAsia="zh-CN"/>
        </w:rPr>
      </w:pPr>
    </w:p>
    <w:p w14:paraId="27BCF47D">
      <w:pPr>
        <w:keepNext w:val="0"/>
        <w:keepLines w:val="0"/>
        <w:pageBreakBefore w:val="0"/>
        <w:wordWrap/>
        <w:overflowPunct/>
        <w:topLinePunct w:val="0"/>
        <w:bidi w:val="0"/>
        <w:adjustRightInd w:val="0"/>
        <w:spacing w:line="560" w:lineRule="exact"/>
        <w:ind w:firstLine="640" w:firstLineChars="200"/>
        <w:rPr>
          <w:rFonts w:hint="default" w:ascii="Times New Roman" w:hAnsi="Times New Roman" w:eastAsia="方正黑体_GBK" w:cs="Times New Roman"/>
          <w:b w:val="0"/>
          <w:bCs w:val="0"/>
          <w:snapToGrid w:val="0"/>
          <w:color w:val="000000"/>
          <w:kern w:val="0"/>
          <w:sz w:val="32"/>
          <w:szCs w:val="32"/>
          <w:lang w:val="en-US" w:eastAsia="zh-CN" w:bidi="ar-SA"/>
        </w:rPr>
      </w:pPr>
      <w:r>
        <w:rPr>
          <w:rFonts w:hint="default" w:ascii="Times New Roman" w:hAnsi="Times New Roman" w:eastAsia="方正黑体_GBK" w:cs="Times New Roman"/>
          <w:b w:val="0"/>
          <w:bCs w:val="0"/>
          <w:snapToGrid w:val="0"/>
          <w:color w:val="000000"/>
          <w:kern w:val="0"/>
          <w:sz w:val="32"/>
          <w:szCs w:val="32"/>
          <w:lang w:val="en-US" w:eastAsia="zh-CN" w:bidi="ar-SA"/>
        </w:rPr>
        <w:t>1.2.5复垦的投资情况</w:t>
      </w:r>
    </w:p>
    <w:p w14:paraId="699B8399">
      <w:pPr>
        <w:pStyle w:val="18"/>
        <w:keepNext w:val="0"/>
        <w:keepLines w:val="0"/>
        <w:pageBreakBefore w:val="0"/>
        <w:wordWrap/>
        <w:overflowPunct/>
        <w:topLinePunct w:val="0"/>
        <w:bidi w:val="0"/>
        <w:spacing w:line="560" w:lineRule="exact"/>
        <w:ind w:firstLine="640" w:firstLineChars="200"/>
        <w:textAlignment w:val="center"/>
        <w:rPr>
          <w:rFonts w:hint="default" w:ascii="Times New Roman" w:hAnsi="Times New Roman" w:eastAsia="方正仿宋_GBK" w:cs="Times New Roman"/>
          <w:b w:val="0"/>
          <w:bCs w:val="0"/>
          <w:snapToGrid w:val="0"/>
          <w:color w:val="000000"/>
          <w:spacing w:val="0"/>
          <w:kern w:val="0"/>
          <w:sz w:val="32"/>
          <w:szCs w:val="32"/>
          <w:lang w:val="en-US" w:eastAsia="zh-CN" w:bidi="ar-SA"/>
        </w:rPr>
      </w:pPr>
      <w:r>
        <w:rPr>
          <w:rFonts w:hint="eastAsia" w:ascii="Times New Roman" w:hAnsi="Times New Roman" w:eastAsia="方正仿宋_GBK" w:cs="Times New Roman"/>
          <w:b w:val="0"/>
          <w:bCs w:val="0"/>
          <w:snapToGrid w:val="0"/>
          <w:color w:val="000000"/>
          <w:spacing w:val="0"/>
          <w:kern w:val="0"/>
          <w:sz w:val="32"/>
          <w:szCs w:val="32"/>
          <w:lang w:val="en-US" w:eastAsia="zh-CN" w:bidi="ar-SA"/>
        </w:rPr>
        <w:t>复垦静态总投资8.64万元，静态亩均投资3586.55元。其中</w:t>
      </w:r>
      <w:r>
        <w:rPr>
          <w:rFonts w:hint="eastAsia" w:ascii="Times New Roman" w:eastAsia="方正仿宋_GBK" w:cs="Times New Roman"/>
          <w:b w:val="0"/>
          <w:bCs w:val="0"/>
          <w:snapToGrid w:val="0"/>
          <w:color w:val="000000"/>
          <w:spacing w:val="0"/>
          <w:kern w:val="0"/>
          <w:sz w:val="32"/>
          <w:szCs w:val="32"/>
          <w:lang w:val="en-US" w:eastAsia="zh-CN" w:bidi="ar-SA"/>
        </w:rPr>
        <w:t>：</w:t>
      </w:r>
      <w:r>
        <w:rPr>
          <w:rFonts w:hint="eastAsia" w:ascii="Times New Roman" w:hAnsi="Times New Roman" w:eastAsia="方正仿宋_GBK" w:cs="Times New Roman"/>
          <w:b w:val="0"/>
          <w:bCs w:val="0"/>
          <w:snapToGrid w:val="0"/>
          <w:color w:val="000000"/>
          <w:spacing w:val="0"/>
          <w:kern w:val="0"/>
          <w:sz w:val="32"/>
          <w:szCs w:val="32"/>
          <w:lang w:val="en-US" w:eastAsia="zh-CN" w:bidi="ar-SA"/>
        </w:rPr>
        <w:t>工程施工费6.65万元，其他费用1.04万元，监测费0.72万元，管护费0.00万元，预备费0.23万元。</w:t>
      </w:r>
    </w:p>
    <w:p w14:paraId="625C7070">
      <w:pPr>
        <w:pStyle w:val="17"/>
        <w:keepNext w:val="0"/>
        <w:keepLines w:val="0"/>
        <w:pageBreakBefore w:val="0"/>
        <w:widowControl w:val="0"/>
        <w:kinsoku/>
        <w:wordWrap/>
        <w:overflowPunct/>
        <w:topLinePunct w:val="0"/>
        <w:autoSpaceDE/>
        <w:autoSpaceDN/>
        <w:bidi w:val="0"/>
        <w:adjustRightInd/>
        <w:spacing w:line="560" w:lineRule="exact"/>
        <w:ind w:left="0" w:leftChars="0" w:firstLine="640" w:firstLineChars="200"/>
        <w:jc w:val="left"/>
        <w:rPr>
          <w:rFonts w:hint="default" w:ascii="Times New Roman" w:hAnsi="Times New Roman" w:eastAsia="方正黑体_GBK" w:cs="Times New Roman"/>
          <w:b w:val="0"/>
          <w:bCs w:val="0"/>
          <w:snapToGrid w:val="0"/>
          <w:color w:val="000000"/>
          <w:kern w:val="0"/>
          <w:sz w:val="32"/>
          <w:szCs w:val="32"/>
          <w:lang w:val="en-US" w:eastAsia="zh-CN" w:bidi="ar-SA"/>
        </w:rPr>
      </w:pPr>
      <w:r>
        <w:rPr>
          <w:rFonts w:hint="default" w:ascii="Times New Roman" w:hAnsi="Times New Roman" w:eastAsia="方正黑体_GBK" w:cs="Times New Roman"/>
          <w:b w:val="0"/>
          <w:bCs w:val="0"/>
          <w:snapToGrid w:val="0"/>
          <w:color w:val="000000"/>
          <w:kern w:val="0"/>
          <w:sz w:val="32"/>
          <w:szCs w:val="32"/>
          <w:lang w:val="en-US" w:eastAsia="zh-CN" w:bidi="ar-SA"/>
        </w:rPr>
        <w:t>三、征询公众意见内容</w:t>
      </w:r>
    </w:p>
    <w:p w14:paraId="6728C2E7">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default" w:ascii="Times New Roman" w:hAnsi="Times New Roman" w:eastAsia="方正仿宋_GBK" w:cs="Times New Roman"/>
          <w:spacing w:val="0"/>
          <w:sz w:val="32"/>
          <w:szCs w:val="32"/>
          <w:lang w:val="en-US" w:eastAsia="zh-CN"/>
        </w:rPr>
      </w:pPr>
      <w:r>
        <w:rPr>
          <w:rFonts w:hint="default" w:ascii="Times New Roman" w:hAnsi="Times New Roman" w:eastAsia="方正仿宋_GBK" w:cs="Times New Roman"/>
          <w:spacing w:val="0"/>
          <w:sz w:val="32"/>
          <w:szCs w:val="32"/>
          <w:lang w:val="en-US" w:eastAsia="zh-CN"/>
        </w:rPr>
        <w:t>1.土地损毁面积是否符合实际</w:t>
      </w:r>
      <w:r>
        <w:rPr>
          <w:rFonts w:hint="eastAsia" w:ascii="Times New Roman" w:hAnsi="Times New Roman" w:eastAsia="方正仿宋_GBK" w:cs="Times New Roman"/>
          <w:spacing w:val="0"/>
          <w:sz w:val="32"/>
          <w:szCs w:val="32"/>
          <w:lang w:val="en-US" w:eastAsia="zh-CN"/>
        </w:rPr>
        <w:t>批复面积</w:t>
      </w:r>
      <w:r>
        <w:rPr>
          <w:rFonts w:hint="default" w:ascii="Times New Roman" w:hAnsi="Times New Roman" w:eastAsia="方正仿宋_GBK" w:cs="Times New Roman"/>
          <w:spacing w:val="0"/>
          <w:sz w:val="32"/>
          <w:szCs w:val="32"/>
          <w:lang w:val="en-US" w:eastAsia="zh-CN"/>
        </w:rPr>
        <w:t>。</w:t>
      </w:r>
    </w:p>
    <w:p w14:paraId="01AB7508">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default" w:ascii="Times New Roman" w:hAnsi="Times New Roman" w:eastAsia="方正仿宋_GBK" w:cs="Times New Roman"/>
          <w:spacing w:val="0"/>
          <w:sz w:val="32"/>
          <w:szCs w:val="32"/>
          <w:lang w:val="en-US" w:eastAsia="zh-CN"/>
        </w:rPr>
      </w:pPr>
      <w:r>
        <w:rPr>
          <w:rFonts w:hint="default" w:ascii="Times New Roman" w:hAnsi="Times New Roman" w:eastAsia="方正仿宋_GBK" w:cs="Times New Roman"/>
          <w:spacing w:val="0"/>
          <w:sz w:val="32"/>
          <w:szCs w:val="32"/>
          <w:lang w:val="en-US" w:eastAsia="zh-CN"/>
        </w:rPr>
        <w:t>2.</w:t>
      </w:r>
      <w:r>
        <w:rPr>
          <w:rFonts w:hint="eastAsia" w:ascii="Times New Roman" w:hAnsi="Times New Roman" w:eastAsia="方正仿宋_GBK" w:cs="Times New Roman"/>
          <w:spacing w:val="0"/>
          <w:sz w:val="32"/>
          <w:szCs w:val="32"/>
          <w:lang w:val="en-US" w:eastAsia="zh-CN"/>
        </w:rPr>
        <w:t>临时用地办理期间是否对牧民草场进行合理补偿</w:t>
      </w:r>
      <w:r>
        <w:rPr>
          <w:rFonts w:hint="default" w:ascii="Times New Roman" w:hAnsi="Times New Roman" w:eastAsia="方正仿宋_GBK" w:cs="Times New Roman"/>
          <w:spacing w:val="0"/>
          <w:sz w:val="32"/>
          <w:szCs w:val="32"/>
          <w:lang w:val="en-US" w:eastAsia="zh-CN"/>
        </w:rPr>
        <w:t>。</w:t>
      </w:r>
    </w:p>
    <w:p w14:paraId="66AA05B8">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default" w:ascii="Times New Roman" w:hAnsi="Times New Roman" w:eastAsia="方正仿宋_GBK" w:cs="Times New Roman"/>
          <w:spacing w:val="0"/>
          <w:sz w:val="32"/>
          <w:szCs w:val="32"/>
          <w:lang w:val="en-US" w:eastAsia="zh-CN"/>
        </w:rPr>
      </w:pPr>
      <w:r>
        <w:rPr>
          <w:rFonts w:hint="default" w:ascii="Times New Roman" w:hAnsi="Times New Roman" w:eastAsia="方正仿宋_GBK" w:cs="Times New Roman"/>
          <w:spacing w:val="0"/>
          <w:sz w:val="32"/>
          <w:szCs w:val="32"/>
          <w:lang w:val="en-US" w:eastAsia="zh-CN"/>
        </w:rPr>
        <w:t>3.</w:t>
      </w:r>
      <w:r>
        <w:rPr>
          <w:rFonts w:hint="default" w:ascii="Times New Roman" w:hAnsi="Times New Roman" w:eastAsia="方正仿宋_GBK" w:cs="Times New Roman"/>
          <w:color w:val="000000"/>
          <w:spacing w:val="0"/>
          <w:sz w:val="32"/>
          <w:szCs w:val="32"/>
          <w:lang w:val="en-US" w:eastAsia="zh-CN"/>
        </w:rPr>
        <w:t>生产年限到期没有进行复垦的</w:t>
      </w:r>
      <w:r>
        <w:rPr>
          <w:rFonts w:hint="eastAsia" w:ascii="Times New Roman" w:hAnsi="Times New Roman" w:eastAsia="方正仿宋_GBK" w:cs="Times New Roman"/>
          <w:color w:val="000000"/>
          <w:spacing w:val="0"/>
          <w:sz w:val="32"/>
          <w:szCs w:val="32"/>
          <w:lang w:val="en-US" w:eastAsia="zh-CN"/>
        </w:rPr>
        <w:t>，向县</w:t>
      </w:r>
      <w:r>
        <w:rPr>
          <w:rFonts w:hint="default" w:ascii="Times New Roman" w:hAnsi="Times New Roman" w:eastAsia="方正仿宋_GBK" w:cs="Times New Roman"/>
          <w:color w:val="000000"/>
          <w:spacing w:val="0"/>
          <w:sz w:val="32"/>
          <w:szCs w:val="32"/>
          <w:lang w:val="en-US" w:eastAsia="zh-CN"/>
        </w:rPr>
        <w:t>自然资源局</w:t>
      </w:r>
      <w:r>
        <w:rPr>
          <w:rFonts w:hint="eastAsia" w:ascii="Times New Roman" w:hAnsi="Times New Roman" w:eastAsia="方正仿宋_GBK" w:cs="Times New Roman"/>
          <w:color w:val="000000"/>
          <w:spacing w:val="0"/>
          <w:sz w:val="32"/>
          <w:szCs w:val="32"/>
          <w:lang w:val="en-US" w:eastAsia="zh-CN"/>
        </w:rPr>
        <w:t>是否设立</w:t>
      </w:r>
      <w:r>
        <w:rPr>
          <w:rFonts w:hint="default" w:ascii="Times New Roman" w:hAnsi="Times New Roman" w:eastAsia="方正仿宋_GBK" w:cs="Times New Roman"/>
          <w:color w:val="000000"/>
          <w:spacing w:val="0"/>
          <w:sz w:val="32"/>
          <w:szCs w:val="32"/>
          <w:lang w:val="en-US" w:eastAsia="zh-CN"/>
        </w:rPr>
        <w:t>举报</w:t>
      </w:r>
      <w:r>
        <w:rPr>
          <w:rFonts w:hint="eastAsia" w:ascii="Times New Roman" w:hAnsi="Times New Roman" w:eastAsia="方正仿宋_GBK" w:cs="Times New Roman"/>
          <w:color w:val="000000"/>
          <w:spacing w:val="0"/>
          <w:sz w:val="32"/>
          <w:szCs w:val="32"/>
          <w:lang w:val="en-US" w:eastAsia="zh-CN"/>
        </w:rPr>
        <w:t>途径</w:t>
      </w:r>
      <w:r>
        <w:rPr>
          <w:rFonts w:hint="default" w:ascii="Times New Roman" w:hAnsi="Times New Roman" w:eastAsia="方正仿宋_GBK" w:cs="Times New Roman"/>
          <w:color w:val="000000"/>
          <w:spacing w:val="0"/>
          <w:sz w:val="32"/>
          <w:szCs w:val="32"/>
          <w:lang w:val="en-US" w:eastAsia="zh-CN"/>
        </w:rPr>
        <w:t>。</w:t>
      </w:r>
    </w:p>
    <w:p w14:paraId="6D84B880">
      <w:pPr>
        <w:pStyle w:val="17"/>
        <w:keepNext w:val="0"/>
        <w:keepLines w:val="0"/>
        <w:pageBreakBefore w:val="0"/>
        <w:widowControl w:val="0"/>
        <w:kinsoku/>
        <w:wordWrap/>
        <w:overflowPunct/>
        <w:topLinePunct w:val="0"/>
        <w:autoSpaceDE/>
        <w:autoSpaceDN/>
        <w:bidi w:val="0"/>
        <w:adjustRightInd/>
        <w:spacing w:line="560" w:lineRule="exact"/>
        <w:ind w:firstLine="640" w:firstLineChars="200"/>
        <w:jc w:val="left"/>
        <w:rPr>
          <w:rFonts w:hint="default" w:ascii="Times New Roman" w:hAnsi="Times New Roman" w:eastAsia="方正黑体_GBK" w:cs="Times New Roman"/>
          <w:b w:val="0"/>
          <w:bCs w:val="0"/>
          <w:snapToGrid w:val="0"/>
          <w:color w:val="000000"/>
          <w:kern w:val="0"/>
          <w:sz w:val="32"/>
          <w:szCs w:val="32"/>
          <w:lang w:val="en-US" w:eastAsia="zh-CN" w:bidi="ar-SA"/>
        </w:rPr>
      </w:pPr>
      <w:r>
        <w:rPr>
          <w:rFonts w:hint="default" w:ascii="Times New Roman" w:hAnsi="Times New Roman" w:eastAsia="方正黑体_GBK" w:cs="Times New Roman"/>
          <w:b w:val="0"/>
          <w:bCs w:val="0"/>
          <w:snapToGrid w:val="0"/>
          <w:color w:val="000000"/>
          <w:kern w:val="0"/>
          <w:sz w:val="32"/>
          <w:szCs w:val="32"/>
          <w:lang w:val="en-US" w:eastAsia="zh-CN" w:bidi="ar-SA"/>
        </w:rPr>
        <w:t>四、公示说明</w:t>
      </w:r>
    </w:p>
    <w:p w14:paraId="517C3F15">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left"/>
        <w:textAlignment w:val="auto"/>
        <w:rPr>
          <w:rFonts w:hint="default" w:ascii="Times New Roman" w:hAnsi="Times New Roman" w:eastAsia="方正仿宋_GBK" w:cs="Times New Roman"/>
          <w:color w:val="000000"/>
          <w:spacing w:val="0"/>
          <w:sz w:val="32"/>
          <w:szCs w:val="32"/>
        </w:rPr>
      </w:pPr>
      <w:r>
        <w:rPr>
          <w:rFonts w:hint="eastAsia" w:ascii="Times New Roman" w:hAnsi="Times New Roman" w:eastAsia="方正仿宋_GBK" w:cs="Times New Roman"/>
          <w:color w:val="000000"/>
          <w:spacing w:val="0"/>
          <w:sz w:val="32"/>
          <w:szCs w:val="32"/>
          <w:lang w:eastAsia="zh-CN"/>
        </w:rPr>
        <w:t>1.</w:t>
      </w:r>
      <w:r>
        <w:rPr>
          <w:rFonts w:hint="default" w:ascii="Times New Roman" w:hAnsi="Times New Roman" w:eastAsia="方正仿宋_GBK" w:cs="Times New Roman"/>
          <w:color w:val="000000"/>
          <w:spacing w:val="0"/>
          <w:sz w:val="32"/>
          <w:szCs w:val="32"/>
        </w:rPr>
        <w:t>公示时间为202</w:t>
      </w:r>
      <w:r>
        <w:rPr>
          <w:rFonts w:hint="eastAsia" w:ascii="Times New Roman" w:hAnsi="Times New Roman" w:eastAsia="方正仿宋_GBK" w:cs="Times New Roman"/>
          <w:color w:val="000000"/>
          <w:spacing w:val="0"/>
          <w:sz w:val="32"/>
          <w:szCs w:val="32"/>
          <w:lang w:val="en-US" w:eastAsia="zh-CN"/>
        </w:rPr>
        <w:t>6</w:t>
      </w:r>
      <w:r>
        <w:rPr>
          <w:rFonts w:hint="default" w:ascii="Times New Roman" w:hAnsi="Times New Roman" w:eastAsia="方正仿宋_GBK" w:cs="Times New Roman"/>
          <w:color w:val="000000"/>
          <w:spacing w:val="0"/>
          <w:sz w:val="32"/>
          <w:szCs w:val="32"/>
        </w:rPr>
        <w:t>年</w:t>
      </w:r>
      <w:r>
        <w:rPr>
          <w:rFonts w:hint="eastAsia" w:ascii="Times New Roman" w:hAnsi="Times New Roman" w:eastAsia="方正仿宋_GBK" w:cs="Times New Roman"/>
          <w:color w:val="000000"/>
          <w:spacing w:val="0"/>
          <w:sz w:val="32"/>
          <w:szCs w:val="32"/>
          <w:lang w:val="en-US" w:eastAsia="zh-CN"/>
        </w:rPr>
        <w:t>10</w:t>
      </w:r>
      <w:r>
        <w:rPr>
          <w:rFonts w:hint="default" w:ascii="Times New Roman" w:hAnsi="Times New Roman" w:eastAsia="方正仿宋_GBK" w:cs="Times New Roman"/>
          <w:color w:val="000000"/>
          <w:spacing w:val="0"/>
          <w:sz w:val="32"/>
          <w:szCs w:val="32"/>
        </w:rPr>
        <w:t>月</w:t>
      </w:r>
      <w:r>
        <w:rPr>
          <w:rFonts w:hint="eastAsia" w:ascii="Times New Roman" w:hAnsi="Times New Roman" w:eastAsia="方正仿宋_GBK" w:cs="Times New Roman"/>
          <w:color w:val="000000"/>
          <w:spacing w:val="0"/>
          <w:sz w:val="32"/>
          <w:szCs w:val="32"/>
          <w:lang w:val="en-US" w:eastAsia="zh-CN"/>
        </w:rPr>
        <w:t>30</w:t>
      </w:r>
      <w:r>
        <w:rPr>
          <w:rFonts w:hint="default" w:ascii="Times New Roman" w:hAnsi="Times New Roman" w:eastAsia="方正仿宋_GBK" w:cs="Times New Roman"/>
          <w:color w:val="000000"/>
          <w:spacing w:val="0"/>
          <w:sz w:val="32"/>
          <w:szCs w:val="32"/>
        </w:rPr>
        <w:t>日—</w:t>
      </w:r>
      <w:r>
        <w:rPr>
          <w:rFonts w:hint="default" w:ascii="Times New Roman" w:hAnsi="Times New Roman" w:eastAsia="方正仿宋_GBK" w:cs="Times New Roman"/>
          <w:color w:val="000000"/>
          <w:spacing w:val="0"/>
          <w:sz w:val="32"/>
          <w:szCs w:val="32"/>
          <w:lang w:val="en-US" w:eastAsia="zh-CN"/>
        </w:rPr>
        <w:t>202</w:t>
      </w:r>
      <w:r>
        <w:rPr>
          <w:rFonts w:hint="eastAsia" w:ascii="Times New Roman" w:hAnsi="Times New Roman" w:eastAsia="方正仿宋_GBK" w:cs="Times New Roman"/>
          <w:color w:val="000000"/>
          <w:spacing w:val="0"/>
          <w:sz w:val="32"/>
          <w:szCs w:val="32"/>
          <w:lang w:val="en-US" w:eastAsia="zh-CN"/>
        </w:rPr>
        <w:t>6</w:t>
      </w:r>
      <w:r>
        <w:rPr>
          <w:rFonts w:hint="default" w:ascii="Times New Roman" w:hAnsi="Times New Roman" w:eastAsia="方正仿宋_GBK" w:cs="Times New Roman"/>
          <w:color w:val="000000"/>
          <w:spacing w:val="0"/>
          <w:sz w:val="32"/>
          <w:szCs w:val="32"/>
          <w:lang w:val="en-US" w:eastAsia="zh-CN"/>
        </w:rPr>
        <w:t>年</w:t>
      </w:r>
      <w:r>
        <w:rPr>
          <w:rFonts w:hint="eastAsia" w:ascii="Times New Roman" w:hAnsi="Times New Roman" w:eastAsia="方正仿宋_GBK" w:cs="Times New Roman"/>
          <w:color w:val="000000"/>
          <w:spacing w:val="0"/>
          <w:sz w:val="32"/>
          <w:szCs w:val="32"/>
          <w:lang w:val="en-US" w:eastAsia="zh-CN"/>
        </w:rPr>
        <w:t>11</w:t>
      </w:r>
      <w:r>
        <w:rPr>
          <w:rFonts w:hint="default" w:ascii="Times New Roman" w:hAnsi="Times New Roman" w:eastAsia="方正仿宋_GBK" w:cs="Times New Roman"/>
          <w:color w:val="000000"/>
          <w:spacing w:val="0"/>
          <w:sz w:val="32"/>
          <w:szCs w:val="32"/>
        </w:rPr>
        <w:t>月</w:t>
      </w:r>
      <w:r>
        <w:rPr>
          <w:rFonts w:hint="eastAsia" w:ascii="Times New Roman" w:hAnsi="Times New Roman" w:eastAsia="方正仿宋_GBK" w:cs="Times New Roman"/>
          <w:color w:val="000000"/>
          <w:spacing w:val="0"/>
          <w:sz w:val="32"/>
          <w:szCs w:val="32"/>
          <w:lang w:val="en-US" w:eastAsia="zh-CN"/>
        </w:rPr>
        <w:t>6</w:t>
      </w:r>
      <w:r>
        <w:rPr>
          <w:rFonts w:hint="default" w:ascii="Times New Roman" w:hAnsi="Times New Roman" w:eastAsia="方正仿宋_GBK" w:cs="Times New Roman"/>
          <w:color w:val="000000"/>
          <w:spacing w:val="0"/>
          <w:sz w:val="32"/>
          <w:szCs w:val="32"/>
        </w:rPr>
        <w:t>日。</w:t>
      </w:r>
    </w:p>
    <w:p w14:paraId="7813FBED">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left"/>
        <w:textAlignment w:val="auto"/>
        <w:rPr>
          <w:rFonts w:hint="default" w:ascii="Times New Roman" w:hAnsi="Times New Roman" w:eastAsia="方正仿宋_GBK" w:cs="Times New Roman"/>
          <w:spacing w:val="0"/>
          <w:sz w:val="32"/>
          <w:szCs w:val="32"/>
          <w:lang w:eastAsia="zh-CN"/>
        </w:rPr>
      </w:pPr>
      <w:r>
        <w:rPr>
          <w:rFonts w:hint="eastAsia" w:ascii="Times New Roman" w:hAnsi="Times New Roman" w:eastAsia="方正仿宋_GBK" w:cs="Times New Roman"/>
          <w:color w:val="000000"/>
          <w:spacing w:val="0"/>
          <w:sz w:val="32"/>
          <w:szCs w:val="32"/>
          <w:lang w:eastAsia="zh-CN"/>
        </w:rPr>
        <w:t>2.</w:t>
      </w:r>
      <w:r>
        <w:rPr>
          <w:rFonts w:hint="default" w:ascii="Times New Roman" w:hAnsi="Times New Roman" w:eastAsia="方正仿宋_GBK" w:cs="Times New Roman"/>
          <w:color w:val="000000"/>
          <w:spacing w:val="0"/>
          <w:sz w:val="32"/>
          <w:szCs w:val="32"/>
        </w:rPr>
        <w:t>本次公众意见可通过信函、传真等书面形式</w:t>
      </w:r>
      <w:r>
        <w:rPr>
          <w:rFonts w:hint="eastAsia" w:ascii="Times New Roman" w:hAnsi="Times New Roman" w:eastAsia="方正仿宋_GBK" w:cs="Times New Roman"/>
          <w:color w:val="000000"/>
          <w:spacing w:val="0"/>
          <w:sz w:val="32"/>
          <w:szCs w:val="32"/>
          <w:lang w:val="en-US" w:eastAsia="zh-CN"/>
        </w:rPr>
        <w:t>或到县</w:t>
      </w:r>
      <w:r>
        <w:rPr>
          <w:rFonts w:hint="default" w:ascii="Times New Roman" w:hAnsi="Times New Roman" w:eastAsia="方正仿宋_GBK" w:cs="Times New Roman"/>
          <w:color w:val="000000"/>
          <w:spacing w:val="0"/>
          <w:sz w:val="32"/>
          <w:szCs w:val="32"/>
          <w:lang w:val="en-US" w:eastAsia="zh-CN"/>
        </w:rPr>
        <w:t>自然资源局</w:t>
      </w:r>
      <w:r>
        <w:rPr>
          <w:rFonts w:hint="eastAsia" w:ascii="Times New Roman" w:hAnsi="Times New Roman" w:eastAsia="方正仿宋_GBK" w:cs="Times New Roman"/>
          <w:color w:val="000000"/>
          <w:spacing w:val="0"/>
          <w:sz w:val="32"/>
          <w:szCs w:val="32"/>
          <w:lang w:val="en-US" w:eastAsia="zh-CN"/>
        </w:rPr>
        <w:t>104办公室</w:t>
      </w:r>
      <w:r>
        <w:rPr>
          <w:rFonts w:hint="default" w:ascii="Times New Roman" w:hAnsi="Times New Roman" w:eastAsia="方正仿宋_GBK" w:cs="Times New Roman"/>
          <w:color w:val="000000"/>
          <w:spacing w:val="0"/>
          <w:sz w:val="32"/>
          <w:szCs w:val="32"/>
        </w:rPr>
        <w:t>。</w:t>
      </w:r>
    </w:p>
    <w:p w14:paraId="242E56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pacing w:val="0"/>
          <w:sz w:val="32"/>
          <w:szCs w:val="32"/>
          <w:lang w:val="en-US" w:eastAsia="zh-CN"/>
        </w:rPr>
      </w:pPr>
      <w:r>
        <w:rPr>
          <w:rFonts w:hint="default" w:ascii="Times New Roman" w:hAnsi="Times New Roman" w:eastAsia="方正仿宋_GBK" w:cs="Times New Roman"/>
          <w:spacing w:val="0"/>
          <w:sz w:val="32"/>
          <w:szCs w:val="32"/>
          <w:lang w:eastAsia="zh-CN"/>
        </w:rPr>
        <w:t>地址：</w:t>
      </w:r>
      <w:r>
        <w:rPr>
          <w:rFonts w:hint="default" w:ascii="Times New Roman" w:hAnsi="Times New Roman" w:eastAsia="方正仿宋_GBK" w:cs="Times New Roman"/>
          <w:spacing w:val="0"/>
          <w:sz w:val="32"/>
          <w:szCs w:val="32"/>
          <w:lang w:val="en-US" w:eastAsia="zh-CN"/>
        </w:rPr>
        <w:t>和静县建设路988号自然资源局</w:t>
      </w:r>
    </w:p>
    <w:p w14:paraId="13A728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pacing w:val="0"/>
          <w:sz w:val="32"/>
          <w:szCs w:val="32"/>
          <w:lang w:val="en-US" w:eastAsia="zh-CN"/>
        </w:rPr>
      </w:pPr>
      <w:r>
        <w:rPr>
          <w:rFonts w:hint="default" w:ascii="Times New Roman" w:hAnsi="Times New Roman" w:eastAsia="方正仿宋_GBK" w:cs="Times New Roman"/>
          <w:spacing w:val="0"/>
          <w:sz w:val="32"/>
          <w:szCs w:val="32"/>
          <w:lang w:eastAsia="zh-CN"/>
        </w:rPr>
        <w:t>联系人：</w:t>
      </w:r>
      <w:r>
        <w:rPr>
          <w:rFonts w:hint="default" w:ascii="Times New Roman" w:hAnsi="Times New Roman" w:eastAsia="方正仿宋_GBK" w:cs="Times New Roman"/>
          <w:spacing w:val="0"/>
          <w:sz w:val="32"/>
          <w:szCs w:val="32"/>
          <w:lang w:val="en-US" w:eastAsia="zh-CN"/>
        </w:rPr>
        <w:t>王百虎</w:t>
      </w:r>
    </w:p>
    <w:p w14:paraId="740E1A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pacing w:val="0"/>
          <w:sz w:val="32"/>
          <w:szCs w:val="32"/>
          <w:lang w:val="en-US" w:eastAsia="zh-CN"/>
        </w:rPr>
      </w:pPr>
      <w:r>
        <w:rPr>
          <w:rFonts w:hint="default" w:ascii="Times New Roman" w:hAnsi="Times New Roman" w:eastAsia="方正仿宋_GBK" w:cs="Times New Roman"/>
          <w:spacing w:val="0"/>
          <w:sz w:val="32"/>
          <w:szCs w:val="32"/>
          <w:lang w:eastAsia="zh-CN"/>
        </w:rPr>
        <w:t>固定电话：</w:t>
      </w:r>
      <w:r>
        <w:rPr>
          <w:rFonts w:hint="default" w:ascii="Times New Roman" w:hAnsi="Times New Roman" w:eastAsia="方正仿宋_GBK" w:cs="Times New Roman"/>
          <w:spacing w:val="0"/>
          <w:sz w:val="32"/>
          <w:szCs w:val="32"/>
          <w:lang w:val="en-US" w:eastAsia="zh-CN"/>
        </w:rPr>
        <w:t>0996-5025378、5025815</w:t>
      </w:r>
    </w:p>
    <w:p w14:paraId="58E1B7C9">
      <w:pPr>
        <w:pStyle w:val="20"/>
        <w:keepNext w:val="0"/>
        <w:keepLines w:val="0"/>
        <w:pageBreakBefore w:val="0"/>
        <w:tabs>
          <w:tab w:val="left" w:pos="768"/>
        </w:tabs>
        <w:wordWrap/>
        <w:overflowPunct/>
        <w:topLinePunct w:val="0"/>
        <w:bidi w:val="0"/>
        <w:spacing w:after="0" w:line="560" w:lineRule="exact"/>
        <w:rPr>
          <w:rFonts w:hint="default" w:ascii="Times New Roman" w:hAnsi="Times New Roman" w:eastAsia="方正仿宋_GBK" w:cs="Times New Roman"/>
          <w:b w:val="0"/>
          <w:snapToGrid w:val="0"/>
          <w:color w:val="000000"/>
          <w:spacing w:val="0"/>
          <w:kern w:val="0"/>
          <w:sz w:val="32"/>
          <w:szCs w:val="32"/>
          <w:lang w:val="en-US" w:eastAsia="zh-CN" w:bidi="ar-SA"/>
        </w:rPr>
      </w:pPr>
      <w:r>
        <w:rPr>
          <w:rFonts w:hint="eastAsia" w:ascii="Times New Roman" w:hAnsi="Times New Roman" w:eastAsia="方正仿宋_GBK" w:cs="Times New Roman"/>
          <w:b w:val="0"/>
          <w:snapToGrid w:val="0"/>
          <w:color w:val="000000"/>
          <w:spacing w:val="0"/>
          <w:kern w:val="0"/>
          <w:sz w:val="32"/>
          <w:szCs w:val="32"/>
          <w:lang w:val="en-US" w:eastAsia="zh-CN" w:bidi="ar-SA"/>
        </w:rPr>
        <w:tab/>
      </w:r>
      <w:r>
        <w:rPr>
          <w:rFonts w:hint="eastAsia" w:ascii="Times New Roman" w:hAnsi="Times New Roman" w:eastAsia="方正仿宋_GBK" w:cs="Times New Roman"/>
          <w:b w:val="0"/>
          <w:snapToGrid w:val="0"/>
          <w:color w:val="000000"/>
          <w:spacing w:val="0"/>
          <w:kern w:val="0"/>
          <w:sz w:val="32"/>
          <w:szCs w:val="32"/>
          <w:lang w:val="en-US" w:eastAsia="zh-CN" w:bidi="ar-SA"/>
        </w:rPr>
        <w:t>邮箱：1465238458@qq.com</w:t>
      </w:r>
    </w:p>
    <w:p w14:paraId="494E304C">
      <w:pPr>
        <w:keepNext w:val="0"/>
        <w:keepLines w:val="0"/>
        <w:pageBreakBefore w:val="0"/>
        <w:wordWrap/>
        <w:overflowPunct/>
        <w:topLinePunct w:val="0"/>
        <w:bidi w:val="0"/>
        <w:spacing w:line="560" w:lineRule="exact"/>
        <w:rPr>
          <w:rFonts w:hint="eastAsia"/>
          <w:lang w:val="en-US" w:eastAsia="zh-CN"/>
        </w:rPr>
      </w:pPr>
    </w:p>
    <w:p w14:paraId="129DA262">
      <w:pPr>
        <w:keepNext w:val="0"/>
        <w:keepLines w:val="0"/>
        <w:pageBreakBefore w:val="0"/>
        <w:widowControl w:val="0"/>
        <w:kinsoku/>
        <w:wordWrap/>
        <w:overflowPunct/>
        <w:topLinePunct w:val="0"/>
        <w:autoSpaceDE/>
        <w:autoSpaceDN/>
        <w:bidi w:val="0"/>
        <w:spacing w:line="560" w:lineRule="exact"/>
        <w:ind w:firstLine="0" w:firstLineChars="0"/>
        <w:jc w:val="left"/>
        <w:rPr>
          <w:rFonts w:hint="default" w:ascii="Times New Roman" w:hAnsi="Times New Roman" w:eastAsia="方正仿宋_GBK" w:cs="Times New Roman"/>
          <w:color w:val="000000"/>
          <w:sz w:val="32"/>
          <w:szCs w:val="32"/>
          <w:lang w:val="en-US" w:eastAsia="zh-CN"/>
        </w:rPr>
      </w:pPr>
    </w:p>
    <w:p w14:paraId="697DC193">
      <w:pPr>
        <w:keepNext w:val="0"/>
        <w:keepLines w:val="0"/>
        <w:pageBreakBefore w:val="0"/>
        <w:widowControl w:val="0"/>
        <w:kinsoku/>
        <w:wordWrap/>
        <w:overflowPunct/>
        <w:topLinePunct w:val="0"/>
        <w:autoSpaceDE/>
        <w:autoSpaceDN/>
        <w:bidi w:val="0"/>
        <w:spacing w:line="560" w:lineRule="exact"/>
        <w:ind w:firstLine="6080" w:firstLineChars="1900"/>
        <w:jc w:val="left"/>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和静县自然资源局</w:t>
      </w:r>
    </w:p>
    <w:p w14:paraId="1572316C">
      <w:pPr>
        <w:keepNext w:val="0"/>
        <w:keepLines w:val="0"/>
        <w:pageBreakBefore w:val="0"/>
        <w:widowControl w:val="0"/>
        <w:kinsoku/>
        <w:wordWrap/>
        <w:overflowPunct/>
        <w:topLinePunct w:val="0"/>
        <w:autoSpaceDE/>
        <w:autoSpaceDN/>
        <w:bidi w:val="0"/>
        <w:spacing w:line="560" w:lineRule="exact"/>
        <w:ind w:firstLine="6080" w:firstLineChars="1900"/>
        <w:jc w:val="left"/>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202</w:t>
      </w:r>
      <w:r>
        <w:rPr>
          <w:rFonts w:hint="eastAsia" w:ascii="Times New Roman" w:hAnsi="Times New Roman" w:eastAsia="方正仿宋_GBK" w:cs="Times New Roman"/>
          <w:color w:val="000000"/>
          <w:sz w:val="32"/>
          <w:szCs w:val="32"/>
          <w:lang w:val="en-US" w:eastAsia="zh-CN"/>
        </w:rPr>
        <w:t>6</w:t>
      </w:r>
      <w:r>
        <w:rPr>
          <w:rFonts w:hint="default" w:ascii="Times New Roman" w:hAnsi="Times New Roman" w:eastAsia="方正仿宋_GBK" w:cs="Times New Roman"/>
          <w:color w:val="000000"/>
          <w:sz w:val="32"/>
          <w:szCs w:val="32"/>
          <w:lang w:val="en-US" w:eastAsia="zh-CN"/>
        </w:rPr>
        <w:t>年</w:t>
      </w:r>
      <w:r>
        <w:rPr>
          <w:rFonts w:hint="eastAsia" w:ascii="Times New Roman" w:hAnsi="Times New Roman" w:eastAsia="方正仿宋_GBK" w:cs="Times New Roman"/>
          <w:color w:val="000000"/>
          <w:sz w:val="32"/>
          <w:szCs w:val="32"/>
          <w:lang w:val="en-US" w:eastAsia="zh-CN"/>
        </w:rPr>
        <w:t>10</w:t>
      </w:r>
      <w:r>
        <w:rPr>
          <w:rFonts w:hint="default" w:ascii="Times New Roman" w:hAnsi="Times New Roman" w:eastAsia="方正仿宋_GBK" w:cs="Times New Roman"/>
          <w:color w:val="000000"/>
          <w:sz w:val="32"/>
          <w:szCs w:val="32"/>
          <w:lang w:val="en-US" w:eastAsia="zh-CN"/>
        </w:rPr>
        <w:t>月</w:t>
      </w:r>
      <w:r>
        <w:rPr>
          <w:rFonts w:hint="eastAsia" w:ascii="Times New Roman" w:hAnsi="Times New Roman" w:eastAsia="方正仿宋_GBK" w:cs="Times New Roman"/>
          <w:color w:val="000000"/>
          <w:sz w:val="32"/>
          <w:szCs w:val="32"/>
          <w:lang w:val="en-US" w:eastAsia="zh-CN"/>
        </w:rPr>
        <w:t>30</w:t>
      </w:r>
      <w:r>
        <w:rPr>
          <w:rFonts w:hint="default" w:ascii="Times New Roman" w:hAnsi="Times New Roman" w:eastAsia="方正仿宋_GBK" w:cs="Times New Roman"/>
          <w:color w:val="000000"/>
          <w:sz w:val="32"/>
          <w:szCs w:val="32"/>
          <w:lang w:val="en-US" w:eastAsia="zh-CN"/>
        </w:rPr>
        <w:t>日</w:t>
      </w:r>
    </w:p>
    <w:p w14:paraId="42D9713A">
      <w:pPr>
        <w:pStyle w:val="13"/>
        <w:keepNext w:val="0"/>
        <w:keepLines w:val="0"/>
        <w:pageBreakBefore w:val="0"/>
        <w:wordWrap/>
        <w:overflowPunct/>
        <w:topLinePunct w:val="0"/>
        <w:bidi w:val="0"/>
        <w:spacing w:after="0" w:line="560" w:lineRule="exact"/>
        <w:ind w:left="0" w:leftChars="0" w:firstLine="0" w:firstLineChars="0"/>
        <w:rPr>
          <w:rFonts w:hint="default"/>
          <w:lang w:val="en-US" w:eastAsia="zh-CN"/>
        </w:rPr>
      </w:pPr>
    </w:p>
    <w:p w14:paraId="04F4E0CD">
      <w:pPr>
        <w:pStyle w:val="13"/>
        <w:keepNext w:val="0"/>
        <w:keepLines w:val="0"/>
        <w:pageBreakBefore w:val="0"/>
        <w:wordWrap/>
        <w:overflowPunct/>
        <w:topLinePunct w:val="0"/>
        <w:bidi w:val="0"/>
        <w:spacing w:after="0" w:line="560" w:lineRule="exact"/>
        <w:ind w:left="0" w:leftChars="0" w:firstLine="0" w:firstLineChars="0"/>
        <w:rPr>
          <w:rFonts w:hint="default"/>
          <w:lang w:val="en-US" w:eastAsia="zh-CN"/>
        </w:rPr>
      </w:pPr>
    </w:p>
    <w:p w14:paraId="0517AD6C">
      <w:pPr>
        <w:pStyle w:val="13"/>
        <w:keepNext w:val="0"/>
        <w:keepLines w:val="0"/>
        <w:pageBreakBefore w:val="0"/>
        <w:wordWrap/>
        <w:overflowPunct/>
        <w:topLinePunct w:val="0"/>
        <w:bidi w:val="0"/>
        <w:spacing w:after="0" w:line="560" w:lineRule="exact"/>
        <w:ind w:left="0" w:leftChars="0" w:firstLine="0" w:firstLineChars="0"/>
        <w:rPr>
          <w:rFonts w:hint="default"/>
          <w:lang w:val="en-US" w:eastAsia="zh-CN"/>
        </w:rPr>
      </w:pPr>
    </w:p>
    <w:p w14:paraId="439577CF">
      <w:pPr>
        <w:pStyle w:val="13"/>
        <w:keepNext w:val="0"/>
        <w:keepLines w:val="0"/>
        <w:pageBreakBefore w:val="0"/>
        <w:wordWrap/>
        <w:overflowPunct/>
        <w:topLinePunct w:val="0"/>
        <w:bidi w:val="0"/>
        <w:spacing w:after="0" w:line="560" w:lineRule="exact"/>
        <w:ind w:left="0" w:leftChars="0" w:firstLine="0" w:firstLineChars="0"/>
        <w:rPr>
          <w:rFonts w:hint="default"/>
          <w:lang w:val="en-US" w:eastAsia="zh-CN"/>
        </w:rPr>
      </w:pPr>
    </w:p>
    <w:p w14:paraId="0D7B0D7B">
      <w:pPr>
        <w:pStyle w:val="13"/>
        <w:keepNext w:val="0"/>
        <w:keepLines w:val="0"/>
        <w:pageBreakBefore w:val="0"/>
        <w:wordWrap/>
        <w:overflowPunct/>
        <w:topLinePunct w:val="0"/>
        <w:bidi w:val="0"/>
        <w:spacing w:after="0" w:line="560" w:lineRule="exact"/>
        <w:ind w:left="0" w:leftChars="0" w:firstLine="0" w:firstLineChars="0"/>
        <w:rPr>
          <w:rFonts w:hint="default"/>
          <w:lang w:val="en-US" w:eastAsia="zh-CN"/>
        </w:rPr>
      </w:pPr>
    </w:p>
    <w:bookmarkEnd w:id="19"/>
    <w:bookmarkEnd w:id="20"/>
    <w:p w14:paraId="676241E3">
      <w:pPr>
        <w:spacing w:line="480" w:lineRule="exact"/>
        <w:ind w:right="-454" w:rightChars="-216"/>
        <w:rPr>
          <w:rFonts w:hint="eastAsia" w:ascii="Times New Roman" w:hAnsi="Times New Roman" w:eastAsia="方正仿宋_GBK" w:cs="Times New Roman"/>
          <w:sz w:val="28"/>
          <w:szCs w:val="28"/>
          <w:lang w:val="en-US" w:eastAsia="zh-CN"/>
        </w:rPr>
      </w:pPr>
    </w:p>
    <w:sectPr>
      <w:headerReference r:id="rId5" w:type="default"/>
      <w:footerReference r:id="rId6" w:type="default"/>
      <w:pgSz w:w="11906" w:h="16838"/>
      <w:pgMar w:top="1871" w:right="1531" w:bottom="1984" w:left="1531" w:header="851" w:footer="992" w:gutter="0"/>
      <w:pgBorders>
        <w:top w:val="none" w:sz="0" w:space="0"/>
        <w:left w:val="none" w:sz="0" w:space="0"/>
        <w:bottom w:val="none" w:sz="0" w:space="0"/>
        <w:right w:val="none" w:sz="0" w:space="0"/>
      </w:pgBorders>
      <w:pgNumType w:fmt="decimal"/>
      <w:cols w:space="0" w:num="1"/>
      <w:rtlGutter w:val="0"/>
      <w:docGrid w:linePitch="59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52FF058-7F00-4D58-BF62-22B78F49D82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36584FAD-0C5C-402F-9120-195E55E7FF13}"/>
  </w:font>
  <w:font w:name="Cambria">
    <w:panose1 w:val="02040503050406030204"/>
    <w:charset w:val="00"/>
    <w:family w:val="roman"/>
    <w:pitch w:val="default"/>
    <w:sig w:usb0="E00002FF" w:usb1="400004FF" w:usb2="00000000" w:usb3="00000000" w:csb0="2000019F" w:csb1="00000000"/>
  </w:font>
  <w:font w:name="方正仿宋简体">
    <w:altName w:val="微软雅黑"/>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embedRegular r:id="rId3" w:fontKey="{7BF81C7B-F4DD-49B7-B2E6-D8B8BA8F4637}"/>
  </w:font>
  <w:font w:name="方正仿宋_GBK">
    <w:panose1 w:val="03000509000000000000"/>
    <w:charset w:val="86"/>
    <w:family w:val="auto"/>
    <w:pitch w:val="default"/>
    <w:sig w:usb0="00000001" w:usb1="080E0000" w:usb2="00000000" w:usb3="00000000" w:csb0="00040000" w:csb1="00000000"/>
    <w:embedRegular r:id="rId4" w:fontKey="{C2117135-9D46-46ED-98EF-31B305DF1A84}"/>
  </w:font>
  <w:font w:name="方正黑体_GBK">
    <w:panose1 w:val="03000509000000000000"/>
    <w:charset w:val="86"/>
    <w:family w:val="auto"/>
    <w:pitch w:val="default"/>
    <w:sig w:usb0="00000001" w:usb1="080E0000" w:usb2="00000000" w:usb3="00000000" w:csb0="00040000" w:csb1="00000000"/>
    <w:embedRegular r:id="rId5" w:fontKey="{B8E87420-ADEA-408D-B6B5-169033589707}"/>
  </w:font>
  <w:font w:name="方正楷体_GBK">
    <w:panose1 w:val="03000509000000000000"/>
    <w:charset w:val="86"/>
    <w:family w:val="auto"/>
    <w:pitch w:val="default"/>
    <w:sig w:usb0="00000001" w:usb1="080E0000" w:usb2="00000000" w:usb3="00000000" w:csb0="00040000" w:csb1="00000000"/>
    <w:embedRegular r:id="rId6" w:fontKey="{F1E6726E-ABE7-42C5-92B3-627D4F0E6795}"/>
  </w:font>
  <w:font w:name="仿宋">
    <w:panose1 w:val="02010609060101010101"/>
    <w:charset w:val="86"/>
    <w:family w:val="modern"/>
    <w:pitch w:val="default"/>
    <w:sig w:usb0="800002BF" w:usb1="38CF7CFA" w:usb2="00000016" w:usb3="00000000" w:csb0="00040001" w:csb1="00000000"/>
    <w:embedRegular r:id="rId7" w:fontKey="{0EA6189D-744A-4DA6-99B3-F63C75B8527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73D40">
    <w:pPr>
      <w:pStyle w:val="8"/>
      <w:kinsoku/>
      <w:autoSpaceDE/>
      <w:autoSpaceDN/>
      <w:adjustRightInd/>
      <w:spacing w:line="240" w:lineRule="auto"/>
      <w:jc w:val="center"/>
      <w:textAlignment w:val="auto"/>
      <w:rPr>
        <w:rFonts w:ascii="Times New Roman" w:hAnsi="Times New Roman" w:eastAsia="宋体" w:cs="Times New Roman"/>
        <w:snapToGrid/>
        <w:sz w:val="2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30E74">
    <w:pPr>
      <w:pStyle w:val="9"/>
      <w:pBdr>
        <w:bottom w:val="none" w:color="auto" w:sz="0" w:space="1"/>
      </w:pBdr>
      <w:kinsoku/>
      <w:autoSpaceDE/>
      <w:autoSpaceDN/>
      <w:adjustRightInd/>
      <w:spacing w:line="240" w:lineRule="auto"/>
      <w:textAlignment w:val="auto"/>
      <w:rPr>
        <w:rFonts w:ascii="Times New Roman" w:hAnsi="Times New Roman" w:eastAsia="宋体" w:cs="Times New Roman"/>
        <w:snapToGri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1"/>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FlZjU4MDViY2MwY2MzNzgyYmYxZjIxMzUzZTlmMmYifQ=="/>
  </w:docVars>
  <w:rsids>
    <w:rsidRoot w:val="3A7C2A74"/>
    <w:rsid w:val="061E3DB6"/>
    <w:rsid w:val="0A1D7496"/>
    <w:rsid w:val="0A8C2E5F"/>
    <w:rsid w:val="13C37868"/>
    <w:rsid w:val="1ABB0114"/>
    <w:rsid w:val="1B256297"/>
    <w:rsid w:val="1BAB4638"/>
    <w:rsid w:val="1BDA4AC1"/>
    <w:rsid w:val="236E1FE0"/>
    <w:rsid w:val="24512859"/>
    <w:rsid w:val="245E0E58"/>
    <w:rsid w:val="25FF3A45"/>
    <w:rsid w:val="27BD701C"/>
    <w:rsid w:val="2B6A5A2B"/>
    <w:rsid w:val="2B6A5CC1"/>
    <w:rsid w:val="2CCC6994"/>
    <w:rsid w:val="2D247068"/>
    <w:rsid w:val="2E530CBA"/>
    <w:rsid w:val="2F885F1B"/>
    <w:rsid w:val="30E32136"/>
    <w:rsid w:val="31434890"/>
    <w:rsid w:val="33510B63"/>
    <w:rsid w:val="34AF4725"/>
    <w:rsid w:val="358B6F41"/>
    <w:rsid w:val="38672377"/>
    <w:rsid w:val="39DA612C"/>
    <w:rsid w:val="3A7C2A74"/>
    <w:rsid w:val="3A970057"/>
    <w:rsid w:val="3E7105D4"/>
    <w:rsid w:val="415229BC"/>
    <w:rsid w:val="42D706C5"/>
    <w:rsid w:val="435249BE"/>
    <w:rsid w:val="44177A69"/>
    <w:rsid w:val="4BC77D57"/>
    <w:rsid w:val="4C970180"/>
    <w:rsid w:val="4D45010E"/>
    <w:rsid w:val="54CC7451"/>
    <w:rsid w:val="56A52A41"/>
    <w:rsid w:val="57DE5FF4"/>
    <w:rsid w:val="59017E51"/>
    <w:rsid w:val="592F5306"/>
    <w:rsid w:val="675D43F3"/>
    <w:rsid w:val="6A293A8A"/>
    <w:rsid w:val="6CD71698"/>
    <w:rsid w:val="6FF77132"/>
    <w:rsid w:val="7037282D"/>
    <w:rsid w:val="73EA3839"/>
    <w:rsid w:val="75FD4F4A"/>
    <w:rsid w:val="791D5FA2"/>
    <w:rsid w:val="793438F8"/>
    <w:rsid w:val="79744B10"/>
    <w:rsid w:val="79D7274E"/>
    <w:rsid w:val="7AB51C94"/>
    <w:rsid w:val="7B73403A"/>
    <w:rsid w:val="7C6E64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qFormat/>
    <w:uiPriority w:val="9"/>
    <w:pPr>
      <w:keepNext/>
      <w:keepLines/>
      <w:spacing w:before="260" w:after="260" w:line="416" w:lineRule="auto"/>
      <w:outlineLvl w:val="1"/>
    </w:pPr>
    <w:rPr>
      <w:rFonts w:ascii="Cambria" w:hAnsi="Cambria"/>
      <w:b/>
      <w:bCs/>
      <w:kern w:val="0"/>
      <w:sz w:val="32"/>
      <w:szCs w:val="32"/>
    </w:rPr>
  </w:style>
  <w:style w:type="paragraph" w:styleId="3">
    <w:name w:val="heading 4"/>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spacing w:line="360" w:lineRule="auto"/>
      <w:ind w:firstLine="420"/>
    </w:pPr>
    <w:rPr>
      <w:rFonts w:ascii="方正仿宋简体" w:hAnsi="方正仿宋简体" w:eastAsia="方正仿宋简体"/>
      <w:szCs w:val="20"/>
    </w:rPr>
  </w:style>
  <w:style w:type="paragraph" w:styleId="5">
    <w:name w:val="Body Text"/>
    <w:basedOn w:val="1"/>
    <w:qFormat/>
    <w:uiPriority w:val="0"/>
    <w:pPr>
      <w:spacing w:after="120"/>
    </w:pPr>
  </w:style>
  <w:style w:type="paragraph" w:styleId="6">
    <w:name w:val="Body Text Indent"/>
    <w:qFormat/>
    <w:uiPriority w:val="0"/>
    <w:pPr>
      <w:widowControl w:val="0"/>
      <w:spacing w:after="120"/>
      <w:ind w:left="420" w:leftChars="200"/>
      <w:jc w:val="both"/>
    </w:pPr>
    <w:rPr>
      <w:rFonts w:ascii="Times New Roman" w:hAnsi="Times New Roman" w:eastAsia="宋体" w:cs="Times New Roman"/>
      <w:kern w:val="2"/>
      <w:sz w:val="24"/>
      <w:szCs w:val="24"/>
      <w:lang w:val="en-US" w:eastAsia="zh-CN" w:bidi="ar-SA"/>
    </w:rPr>
  </w:style>
  <w:style w:type="paragraph" w:styleId="7">
    <w:name w:val="Plain Text"/>
    <w:basedOn w:val="1"/>
    <w:qFormat/>
    <w:uiPriority w:val="0"/>
    <w:rPr>
      <w:rFonts w:ascii="宋体" w:hAnsi="Courier New" w:cs="Courier New"/>
      <w:szCs w:val="21"/>
    </w:rPr>
  </w:style>
  <w:style w:type="paragraph" w:styleId="8">
    <w:name w:val="footer"/>
    <w:basedOn w:val="1"/>
    <w:unhideWhenUsed/>
    <w:qFormat/>
    <w:uiPriority w:val="99"/>
    <w:pPr>
      <w:widowControl w:val="0"/>
      <w:tabs>
        <w:tab w:val="center" w:pos="4153"/>
        <w:tab w:val="right" w:pos="8306"/>
      </w:tabs>
      <w:snapToGrid w:val="0"/>
      <w:jc w:val="left"/>
    </w:pPr>
    <w:rPr>
      <w:rFonts w:ascii="Times New Roman" w:hAnsi="Times New Roman" w:eastAsia="宋体" w:cs="Times New Roman"/>
      <w:kern w:val="0"/>
      <w:sz w:val="18"/>
      <w:szCs w:val="18"/>
      <w:lang w:val="en-US" w:eastAsia="zh-CN" w:bidi="ar-SA"/>
    </w:rPr>
  </w:style>
  <w:style w:type="paragraph" w:styleId="9">
    <w:name w:val="header"/>
    <w:basedOn w:val="1"/>
    <w:unhideWhenUsed/>
    <w:qFormat/>
    <w:uiPriority w:val="0"/>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0"/>
      <w:sz w:val="18"/>
      <w:szCs w:val="18"/>
      <w:lang w:val="en-US" w:eastAsia="zh-CN" w:bidi="ar-SA"/>
    </w:rPr>
  </w:style>
  <w:style w:type="paragraph" w:styleId="10">
    <w:name w:val="Body Text First Indent 2"/>
    <w:qFormat/>
    <w:uiPriority w:val="0"/>
    <w:pPr>
      <w:widowControl w:val="0"/>
      <w:tabs>
        <w:tab w:val="decimal" w:pos="0"/>
      </w:tabs>
      <w:spacing w:after="120" w:afterLines="0" w:line="240" w:lineRule="auto"/>
      <w:ind w:left="420" w:leftChars="200" w:firstLine="420" w:firstLineChars="200"/>
      <w:jc w:val="both"/>
    </w:pPr>
    <w:rPr>
      <w:rFonts w:ascii="Times New Roman" w:hAnsi="Times New Roman" w:eastAsia="宋体" w:cs="Times New Roman"/>
      <w:spacing w:val="0"/>
      <w:kern w:val="2"/>
      <w:sz w:val="21"/>
      <w:szCs w:val="24"/>
      <w:lang w:val="en-US" w:eastAsia="zh-CN" w:bidi="ar-SA"/>
    </w:rPr>
  </w:style>
  <w:style w:type="paragraph" w:customStyle="1" w:styleId="13">
    <w:name w:val="BodyText1I"/>
    <w:basedOn w:val="14"/>
    <w:qFormat/>
    <w:uiPriority w:val="0"/>
    <w:pPr>
      <w:ind w:firstLine="420" w:firstLineChars="100"/>
    </w:pPr>
    <w:rPr>
      <w:sz w:val="28"/>
      <w:szCs w:val="20"/>
    </w:rPr>
  </w:style>
  <w:style w:type="paragraph" w:customStyle="1" w:styleId="14">
    <w:name w:val="BodyText"/>
    <w:basedOn w:val="1"/>
    <w:qFormat/>
    <w:uiPriority w:val="0"/>
    <w:pPr>
      <w:spacing w:after="120"/>
    </w:pPr>
    <w:rPr>
      <w:szCs w:val="21"/>
    </w:rPr>
  </w:style>
  <w:style w:type="paragraph" w:customStyle="1" w:styleId="15">
    <w:name w:val="Table Text"/>
    <w:basedOn w:val="1"/>
    <w:semiHidden/>
    <w:qFormat/>
    <w:uiPriority w:val="0"/>
    <w:rPr>
      <w:rFonts w:ascii="宋体" w:hAnsi="宋体" w:eastAsia="宋体" w:cs="宋体"/>
      <w:sz w:val="22"/>
      <w:szCs w:val="22"/>
      <w:lang w:val="en-US" w:eastAsia="en-US" w:bidi="ar-SA"/>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x正文"/>
    <w:qFormat/>
    <w:uiPriority w:val="0"/>
    <w:pPr>
      <w:widowControl w:val="0"/>
      <w:autoSpaceDE w:val="0"/>
      <w:autoSpaceDN w:val="0"/>
      <w:snapToGrid w:val="0"/>
      <w:spacing w:line="360" w:lineRule="auto"/>
      <w:ind w:firstLine="200" w:firstLineChars="200"/>
      <w:jc w:val="both"/>
      <w:textAlignment w:val="center"/>
    </w:pPr>
    <w:rPr>
      <w:rFonts w:ascii="Times New Roman" w:hAnsi="Times New Roman" w:eastAsia="仿宋_GB2312" w:cs="宋体"/>
      <w:sz w:val="24"/>
      <w:szCs w:val="24"/>
      <w:lang w:val="en-US" w:eastAsia="zh-CN" w:bidi="ar-SA"/>
    </w:rPr>
  </w:style>
  <w:style w:type="paragraph" w:customStyle="1" w:styleId="18">
    <w:name w:val="报告正文"/>
    <w:qFormat/>
    <w:uiPriority w:val="0"/>
    <w:pPr>
      <w:widowControl w:val="0"/>
      <w:adjustRightInd w:val="0"/>
      <w:snapToGrid w:val="0"/>
      <w:spacing w:line="300" w:lineRule="auto"/>
      <w:jc w:val="both"/>
    </w:pPr>
    <w:rPr>
      <w:rFonts w:ascii="宋体" w:hAnsi="Times New Roman" w:eastAsia="宋体" w:cs="Times New Roman"/>
      <w:kern w:val="2"/>
      <w:sz w:val="28"/>
      <w:szCs w:val="20"/>
      <w:lang w:val="en-US" w:eastAsia="zh-CN" w:bidi="ar-SA"/>
    </w:rPr>
  </w:style>
  <w:style w:type="paragraph" w:customStyle="1" w:styleId="19">
    <w:name w:val="Table Paragraph"/>
    <w:basedOn w:val="1"/>
    <w:qFormat/>
    <w:uiPriority w:val="1"/>
    <w:pPr>
      <w:jc w:val="center"/>
    </w:pPr>
    <w:rPr>
      <w:rFonts w:ascii="宋体" w:hAnsi="宋体" w:eastAsia="宋体" w:cs="宋体"/>
      <w:lang w:val="en-US" w:eastAsia="zh-CN" w:bidi="ar-SA"/>
    </w:rPr>
  </w:style>
  <w:style w:type="paragraph" w:customStyle="1" w:styleId="20">
    <w:name w:val="Char"/>
    <w:basedOn w:val="1"/>
    <w:qFormat/>
    <w:uiPriority w:val="99"/>
    <w:pPr>
      <w:widowControl/>
      <w:spacing w:after="160" w:line="240" w:lineRule="exact"/>
      <w:jc w:val="left"/>
    </w:pPr>
    <w:rPr>
      <w:rFonts w:ascii="Arial" w:hAnsi="Arial" w:cs="Verdana"/>
      <w:b/>
      <w:kern w:val="0"/>
      <w:sz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cddec2b7-d46b-44db-8534-a0ef5981009d</errorID>
      <errorWord>-</errorWord>
      <group>L1_Format</group>
      <groupName>格式问题</groupName>
      <ability>L2_HalfPunc</ability>
      <abilityName>全半角检查</abilityName>
      <candidateList>
        <item>－</item>
      </candidateList>
      <explain>文本全半角错误。</explain>
      <paraID> 6CD253A</paraID>
      <start>11</start>
      <end>12</end>
      <status>modified</status>
      <modifiedWord>－</modifiedWord>
      <trackRevisions>false</trackRevisions>
    </reviewItem>
    <reviewItem>
      <errorID>a2698b37-b58b-4569-9bdb-9ae4acb85715</errorID>
      <errorWord>-</errorWord>
      <group>L1_Format</group>
      <groupName>格式问题</groupName>
      <ability>L2_HalfPunc</ability>
      <abilityName>全半角检查</abilityName>
      <candidateList>
        <item>－</item>
      </candidateList>
      <explain>文本全半角错误。</explain>
      <paraID> 6CD253A</paraID>
      <start>15</start>
      <end>16</end>
      <status>modified</status>
      <modifiedWord>－</modifiedWord>
      <trackRevisions>false</trackRevisions>
    </reviewItem>
    <reviewItem>
      <errorID>7b47fd7f-a2f9-4597-a519-f281756df5f6</errorID>
      <errorWord>-</errorWord>
      <group>L1_Format</group>
      <groupName>格式问题</groupName>
      <ability>L2_HalfPunc</ability>
      <abilityName>全半角检查</abilityName>
      <candidateList>
        <item>－</item>
      </candidateList>
      <explain>文本全半角错误。</explain>
      <paraID>455ED961</paraID>
      <start>24</start>
      <end>25</end>
      <status>modified</status>
      <modifiedWord>－</modifiedWord>
      <trackRevisions>false</trackRevisions>
    </reviewItem>
    <reviewItem>
      <errorID>338ddd68-b0c6-460d-a300-9861ad922e57</errorID>
      <errorWord>-</errorWord>
      <group>L1_Format</group>
      <groupName>格式问题</groupName>
      <ability>L2_HalfPunc</ability>
      <abilityName>全半角检查</abilityName>
      <candidateList>
        <item>－</item>
      </candidateList>
      <explain>文本全半角错误。</explain>
      <paraID>455ED961</paraID>
      <start>28</start>
      <end>29</end>
      <status>modified</status>
      <modifiedWord>－</modifiedWord>
      <trackRevisions>false</trackRevisions>
    </reviewItem>
    <reviewItem>
      <errorID>69fb7745-644a-4d12-a132-740e8039df63</errorID>
      <errorWord>-</errorWord>
      <group>L1_Format</group>
      <groupName>格式问题</groupName>
      <ability>L2_HalfPunc</ability>
      <abilityName>全半角检查</abilityName>
      <candidateList>
        <item>－</item>
      </candidateList>
      <explain>文本全半角错误。</explain>
      <paraID>40B8DDF3</paraID>
      <start>7</start>
      <end>8</end>
      <status>modified</status>
      <modifiedWord>－</modifiedWord>
      <trackRevisions>false</trackRevisions>
    </reviewItem>
    <reviewItem>
      <errorID>c4cd0fe8-1b7f-4ccf-9f69-3826e87c9f1f</errorID>
      <errorWord>-</errorWord>
      <group>L1_Format</group>
      <groupName>格式问题</groupName>
      <ability>L2_HalfPunc</ability>
      <abilityName>全半角检查</abilityName>
      <candidateList>
        <item>－</item>
      </candidateList>
      <explain>文本全半角错误。</explain>
      <paraID>40B8DDF3</paraID>
      <start>11</start>
      <end>12</end>
      <status>modified</status>
      <modifiedWord>－</modifiedWord>
      <trackRevisions>false</trackRevisions>
    </reviewItem>
    <reviewItem>
      <errorID>0e9d46b3-a8e2-4432-8bf3-2d8523c7336a</errorID>
      <errorWord>-</errorWord>
      <group>L1_Format</group>
      <groupName>格式问题</groupName>
      <ability>L2_HalfPunc</ability>
      <abilityName>全半角检查</abilityName>
      <candidateList>
        <item>－</item>
      </candidateList>
      <explain>文本全半角错误。</explain>
      <paraID> 9319973</paraID>
      <start>7</start>
      <end>8</end>
      <status>modified</status>
      <modifiedWord>－</modifiedWord>
      <trackRevisions>false</trackRevisions>
    </reviewItem>
    <reviewItem>
      <errorID>535d0d3f-8b55-49a7-a0b6-c978c0d7e6e9</errorID>
      <errorWord>-</errorWord>
      <group>L1_Format</group>
      <groupName>格式问题</groupName>
      <ability>L2_HalfPunc</ability>
      <abilityName>全半角检查</abilityName>
      <candidateList>
        <item>－</item>
      </candidateList>
      <explain>文本全半角错误。</explain>
      <paraID> 9319973</paraID>
      <start>11</start>
      <end>12</end>
      <status>modified</status>
      <modifiedWord>－</modifiedWord>
      <trackRevisions>false</trackRevisions>
    </reviewItem>
    <reviewItem>
      <errorID>308de911-5b29-4909-8d6d-19cc282aed89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9319973</paraID>
      <start>119</start>
      <end>121</end>
      <status>modified</status>
      <modifiedWord>》《</modifiedWord>
      <trackRevisions>false</trackRevisions>
    </reviewItem>
    <reviewItem>
      <errorID>302a8341-092a-4a64-8d42-3bffbe5eb4c2</errorID>
      <errorWord>-</errorWord>
      <group>L1_Format</group>
      <groupName>格式问题</groupName>
      <ability>L2_HalfPunc</ability>
      <abilityName>全半角检查</abilityName>
      <candidateList>
        <item>－</item>
      </candidateList>
      <explain>文本全半角错误。</explain>
      <paraID> 9319973</paraID>
      <start>230</start>
      <end>231</end>
      <status>modified</status>
      <modifiedWord>－</modifiedWord>
      <trackRevisions>false</trackRevisions>
    </reviewItem>
    <reviewItem>
      <errorID>e9a9b35f-5909-4704-9a57-522c689ca839</errorID>
      <errorWord>-</errorWord>
      <group>L1_Format</group>
      <groupName>格式问题</groupName>
      <ability>L2_HalfPunc</ability>
      <abilityName>全半角检查</abilityName>
      <candidateList>
        <item>－</item>
      </candidateList>
      <explain>文本全半角错误。</explain>
      <paraID> 9319973</paraID>
      <start>234</start>
      <end>235</end>
      <status>modified</status>
      <modifiedWord>－</modifiedWord>
      <trackRevisions>false</trackRevisions>
    </reviewItem>
    <reviewItem>
      <errorID>f1bc8553-5801-4c7a-97af-0db26f9d7a9c</errorID>
      <errorWord>-</errorWord>
      <group>L1_Format</group>
      <groupName>格式问题</groupName>
      <ability>L2_HalfPunc</ability>
      <abilityName>全半角检查</abilityName>
      <candidateList>
        <item>－</item>
      </candidateList>
      <explain>文本全半角错误。</explain>
      <paraID>534BAC40</paraID>
      <start>229</start>
      <end>230</end>
      <status>modified</status>
      <modifiedWord>－</modifiedWord>
      <trackRevisions>false</trackRevisions>
    </reviewItem>
    <reviewItem>
      <errorID>eca86195-8090-41a1-8f83-aa55eb3a0928</errorID>
      <errorWord>-</errorWord>
      <group>L1_Format</group>
      <groupName>格式问题</groupName>
      <ability>L2_HalfPunc</ability>
      <abilityName>全半角检查</abilityName>
      <candidateList>
        <item>－</item>
      </candidateList>
      <explain>文本全半角错误。</explain>
      <paraID>534BAC40</paraID>
      <start>233</start>
      <end>234</end>
      <status>modified</status>
      <modifiedWord>－</modifiedWord>
      <trackRevisions>false</trackRevisions>
    </reviewItem>
    <reviewItem>
      <errorID>e9d71a2e-2994-453f-b527-cd89edea5add</errorID>
      <errorWord>-</errorWord>
      <group>L1_Format</group>
      <groupName>格式问题</groupName>
      <ability>L2_HalfPunc</ability>
      <abilityName>全半角检查</abilityName>
      <candidateList>
        <item>－</item>
      </candidateList>
      <explain>文本全半角错误。</explain>
      <paraID>7AC61C91</paraID>
      <start>50</start>
      <end>51</end>
      <status>modified</status>
      <modifiedWord>－</modifiedWord>
      <trackRevisions>false</trackRevisions>
    </reviewItem>
    <reviewItem>
      <errorID>ca889c9d-a6f8-4224-83e2-490ebca25f8e</errorID>
      <errorWord>-</errorWord>
      <group>L1_Format</group>
      <groupName>格式问题</groupName>
      <ability>L2_HalfPunc</ability>
      <abilityName>全半角检查</abilityName>
      <candidateList>
        <item>－</item>
      </candidateList>
      <explain>文本全半角错误。</explain>
      <paraID>7AC61C91</paraID>
      <start>54</start>
      <end>55</end>
      <status>modified</status>
      <modifiedWord>－</modifiedWord>
      <trackRevisions>false</trackRevisions>
    </reviewItem>
    <reviewItem>
      <errorID>c3bfde70-79a6-4745-b705-d302769cf9a6</errorID>
      <errorWord>-</errorWord>
      <group>L1_Format</group>
      <groupName>格式问题</groupName>
      <ability>L2_HalfPunc</ability>
      <abilityName>全半角检查</abilityName>
      <candidateList>
        <item>－</item>
      </candidateList>
      <explain>文本全半角错误。</explain>
      <paraID>7AC61C91</paraID>
      <start>108</start>
      <end>109</end>
      <status>modified</status>
      <modifiedWord>－</modifiedWord>
      <trackRevisions>false</trackRevisions>
    </reviewItem>
    <reviewItem>
      <errorID>39756219-53e2-4c3a-8ea1-2258af4b631c</errorID>
      <errorWord>-</errorWord>
      <group>L1_Format</group>
      <groupName>格式问题</groupName>
      <ability>L2_HalfPunc</ability>
      <abilityName>全半角检查</abilityName>
      <candidateList>
        <item>－</item>
      </candidateList>
      <explain>文本全半角错误。</explain>
      <paraID>7AC61C91</paraID>
      <start>112</start>
      <end>113</end>
      <status>modified</status>
      <modifiedWord>－</modifiedWord>
      <trackRevisions>false</trackRevisions>
    </reviewItem>
    <reviewItem>
      <errorID>4670c2a4-2fb1-498f-b865-2a14c072e268</errorID>
      <errorWord>-</errorWord>
      <group>L1_Format</group>
      <groupName>格式问题</groupName>
      <ability>L2_HalfPunc</ability>
      <abilityName>全半角检查</abilityName>
      <candidateList>
        <item>－</item>
      </candidateList>
      <explain>文本全半角错误。</explain>
      <paraID>264151C9</paraID>
      <start>12</start>
      <end>13</end>
      <status>modified</status>
      <modifiedWord>－</modifiedWord>
      <trackRevisions>false</trackRevisions>
    </reviewItem>
    <reviewItem>
      <errorID>e8180e0c-54c6-48bd-a807-6613b381ddfa</errorID>
      <errorWord>-</errorWord>
      <group>L1_Format</group>
      <groupName>格式问题</groupName>
      <ability>L2_HalfPunc</ability>
      <abilityName>全半角检查</abilityName>
      <candidateList>
        <item>－</item>
      </candidateList>
      <explain>文本全半角错误。</explain>
      <paraID>264151C9</paraID>
      <start>16</start>
      <end>17</end>
      <status>modified</status>
      <modifiedWord>－</modifiedWord>
      <trackRevisions>false</trackRevisions>
    </reviewItem>
    <reviewItem>
      <errorID>599468df-7e9c-45c4-abb3-a6ea7e314ce4</errorID>
      <errorWord>-</errorWord>
      <group>L1_Format</group>
      <groupName>格式问题</groupName>
      <ability>L2_HalfPunc</ability>
      <abilityName>全半角检查</abilityName>
      <candidateList>
        <item>－</item>
      </candidateList>
      <explain>文本全半角错误。</explain>
      <paraID>69E3D897</paraID>
      <start>36</start>
      <end>37</end>
      <status>modified</status>
      <modifiedWord>－</modifiedWord>
      <trackRevisions>false</trackRevisions>
    </reviewItem>
    <reviewItem>
      <errorID>6d9a701f-3104-46f1-bf78-5fd980ae2675</errorID>
      <errorWord>-</errorWord>
      <group>L1_Format</group>
      <groupName>格式问题</groupName>
      <ability>L2_HalfPunc</ability>
      <abilityName>全半角检查</abilityName>
      <candidateList>
        <item>－</item>
      </candidateList>
      <explain>文本全半角错误。</explain>
      <paraID>69E3D897</paraID>
      <start>40</start>
      <end>41</end>
      <status>modified</status>
      <modifiedWord>－</modifiedWord>
      <trackRevisions>false</trackRevisions>
    </reviewItem>
    <reviewItem>
      <errorID>b50728f5-7d0f-4b58-901a-8bcafbe31c5b</errorID>
      <errorWord>费为</errorWord>
      <group>L1_Word</group>
      <groupName>字词问题</groupName>
      <ability>L2_Typo</ability>
      <abilityName>字词错误</abilityName>
      <candidateList>
        <item>费</item>
      </candidateList>
      <explain/>
      <paraID>69E3D897</paraID>
      <start>105</start>
      <end>106</end>
      <status>modified</status>
      <modifiedWord>费</modifiedWord>
      <trackRevisions>false</trackRevisions>
    </reviewItem>
    <reviewItem>
      <errorID>1d5f8978-3dd5-4a35-b5f6-aa01258ed142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2DEEFED4</paraID>
      <start>0</start>
      <end>2</end>
      <status>modified</status>
      <modifiedWord>1.</modifiedWord>
      <trackRevisions>false</trackRevisions>
    </reviewItem>
    <reviewItem>
      <errorID>22b8abda-ef7a-4387-875c-08edc9ecebcf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47344243</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53615adc-a5f1-4584-ae5b-b253d1b25984}">
  <ds:schemaRefs/>
</ds:datastoreItem>
</file>

<file path=docProps/app.xml><?xml version="1.0" encoding="utf-8"?>
<Properties xmlns="http://schemas.openxmlformats.org/officeDocument/2006/extended-properties" xmlns:vt="http://schemas.openxmlformats.org/officeDocument/2006/docPropsVTypes">
  <Template>Normal.dotm</Template>
  <Pages>5</Pages>
  <Words>1379</Words>
  <Characters>1562</Characters>
  <Lines>0</Lines>
  <Paragraphs>0</Paragraphs>
  <TotalTime>36</TotalTime>
  <ScaleCrop>false</ScaleCrop>
  <LinksUpToDate>false</LinksUpToDate>
  <CharactersWithSpaces>1568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2024-08-22T03:10:00Z</dcterms:created>
  <dc:creator></dc:creator>
  <cp:lastModifiedBy>觉伦图尔根</cp:lastModifiedBy>
  <cp:lastPrinted>2026-10-30T09:52:00Z</cp:lastPrinted>
  <dcterms:modified xsi:type="dcterms:W3CDTF">2026-10-30T10:25:05Z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90D6D2D8BF3E44BCA5679579AE134C3C_13</vt:lpwstr>
  </property>
  <property fmtid="{D5CDD505-2E9C-101B-9397-08002B2CF9AE}" pid="4" name="KSOTemplateDocerSaveRecord">
    <vt:lpwstr>eyJoZGlkIjoiMzI0OWRiMTZiMzRmNjNlMGUwZWQ4OTZmMWRjYmExZDUiLCJ1c2VySWQiOiI1MDE5NjM2MjYifQ==</vt:lpwstr>
  </property>
</Properties>
</file>