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FF0F7F">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240" w:lineRule="auto"/>
        <w:jc w:val="both"/>
        <w:textAlignment w:val="center"/>
        <w:rPr>
          <w:rFonts w:hint="default" w:ascii="Times New Roman" w:hAnsi="Times New Roman" w:eastAsia="方正小标宋_GBK" w:cs="Times New Roman"/>
          <w:b w:val="0"/>
          <w:bCs w:val="0"/>
          <w:spacing w:val="0"/>
          <w:sz w:val="44"/>
          <w:szCs w:val="44"/>
          <w:lang w:val="en-US" w:eastAsia="zh-CN"/>
        </w:rPr>
      </w:pPr>
    </w:p>
    <w:p w14:paraId="351D5701">
      <w:pPr>
        <w:keepNext w:val="0"/>
        <w:keepLines w:val="0"/>
        <w:pageBreakBefore w:val="0"/>
        <w:widowControl w:val="0"/>
        <w:kinsoku/>
        <w:wordWrap/>
        <w:overflowPunct/>
        <w:topLinePunct w:val="0"/>
        <w:autoSpaceDE/>
        <w:autoSpaceDN/>
        <w:bidi w:val="0"/>
        <w:adjustRightInd/>
        <w:snapToGrid/>
        <w:spacing w:line="560" w:lineRule="atLeast"/>
        <w:jc w:val="center"/>
        <w:textAlignment w:val="center"/>
        <w:rPr>
          <w:rFonts w:hint="default" w:ascii="Times New Roman" w:hAnsi="Times New Roman" w:eastAsia="方正小标宋_GBK" w:cs="Times New Roman"/>
          <w:b w:val="0"/>
          <w:bCs w:val="0"/>
          <w:spacing w:val="0"/>
          <w:sz w:val="44"/>
          <w:szCs w:val="44"/>
          <w:lang w:val="en-US" w:eastAsia="zh-CN"/>
        </w:rPr>
      </w:pPr>
    </w:p>
    <w:p w14:paraId="04281812">
      <w:pPr>
        <w:pStyle w:val="13"/>
        <w:rPr>
          <w:rFonts w:hint="default"/>
          <w:lang w:val="en-US" w:eastAsia="zh-CN"/>
        </w:rPr>
      </w:pPr>
    </w:p>
    <w:p w14:paraId="06CD253A">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baseline"/>
        <w:rPr>
          <w:rFonts w:hint="default" w:ascii="Times New Roman" w:hAnsi="Times New Roman" w:eastAsia="方正小标宋_GBK" w:cs="Times New Roman"/>
          <w:spacing w:val="0"/>
          <w:sz w:val="44"/>
          <w:szCs w:val="44"/>
          <w:lang w:val="en-US" w:eastAsia="zh-CN"/>
        </w:rPr>
      </w:pPr>
      <w:r>
        <w:rPr>
          <w:rFonts w:hint="default" w:ascii="Times New Roman" w:hAnsi="Times New Roman" w:eastAsia="方正小标宋_GBK" w:cs="Times New Roman"/>
          <w:b w:val="0"/>
          <w:bCs w:val="0"/>
          <w:spacing w:val="0"/>
          <w:sz w:val="44"/>
          <w:szCs w:val="44"/>
          <w:lang w:val="en-US" w:eastAsia="zh-CN"/>
        </w:rPr>
        <w:t>关</w:t>
      </w:r>
      <w:r>
        <w:rPr>
          <w:rFonts w:hint="default" w:ascii="Times New Roman" w:hAnsi="Times New Roman" w:eastAsia="方正小标宋_GBK" w:cs="Times New Roman"/>
          <w:spacing w:val="0"/>
          <w:sz w:val="44"/>
          <w:szCs w:val="44"/>
          <w:lang w:val="en-US" w:eastAsia="zh-CN"/>
        </w:rPr>
        <w:t>于对《</w:t>
      </w:r>
      <w:r>
        <w:rPr>
          <w:rFonts w:hint="eastAsia" w:ascii="Times New Roman" w:hAnsi="Times New Roman" w:eastAsia="方正小标宋_GBK" w:cs="Times New Roman"/>
          <w:spacing w:val="0"/>
          <w:sz w:val="44"/>
          <w:szCs w:val="44"/>
          <w:lang w:val="en-US" w:eastAsia="zh-CN"/>
        </w:rPr>
        <w:t>中铁二局集团有限公司G3033奎屯－独山子－库车高速公路建设项目KDK-TJSG-4标段项目总承包部项目经理4部（表土剥离堆放区）临时用地土地复垦方案报告书</w:t>
      </w:r>
      <w:r>
        <w:rPr>
          <w:rFonts w:hint="default" w:ascii="Times New Roman" w:hAnsi="Times New Roman" w:eastAsia="方正小标宋_GBK" w:cs="Times New Roman"/>
          <w:spacing w:val="0"/>
          <w:sz w:val="44"/>
          <w:szCs w:val="44"/>
          <w:lang w:val="en-US" w:eastAsia="zh-CN"/>
        </w:rPr>
        <w:t>》公开征求意见的公告</w:t>
      </w:r>
    </w:p>
    <w:p w14:paraId="7E202635">
      <w:pPr>
        <w:pStyle w:val="13"/>
        <w:rPr>
          <w:rFonts w:hint="default"/>
          <w:lang w:val="en-US" w:eastAsia="zh-CN"/>
        </w:rPr>
      </w:pPr>
    </w:p>
    <w:p w14:paraId="455ED961">
      <w:pPr>
        <w:keepNext w:val="0"/>
        <w:keepLines w:val="0"/>
        <w:pageBreakBefore w:val="0"/>
        <w:widowControl/>
        <w:suppressLineNumbers w:val="0"/>
        <w:kinsoku/>
        <w:wordWrap w:val="0"/>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方正仿宋_GBK" w:cs="Times New Roman"/>
          <w:b w:val="0"/>
          <w:bCs w:val="0"/>
          <w:spacing w:val="0"/>
          <w:sz w:val="32"/>
          <w:szCs w:val="32"/>
          <w:lang w:val="en-US" w:eastAsia="zh-CN"/>
        </w:rPr>
      </w:pPr>
      <w:r>
        <w:rPr>
          <w:rFonts w:hint="default" w:ascii="Times New Roman" w:hAnsi="Times New Roman" w:eastAsia="方正仿宋_GBK" w:cs="Times New Roman"/>
          <w:b w:val="0"/>
          <w:bCs w:val="0"/>
          <w:spacing w:val="0"/>
          <w:sz w:val="32"/>
          <w:szCs w:val="32"/>
          <w:lang w:val="en-US" w:eastAsia="zh-CN"/>
        </w:rPr>
        <w:t>按照《土地复垦方案》文件规定，对《</w:t>
      </w:r>
      <w:r>
        <w:rPr>
          <w:rFonts w:hint="eastAsia" w:ascii="Times New Roman" w:hAnsi="Times New Roman" w:eastAsia="方正仿宋_GBK" w:cs="Times New Roman"/>
          <w:b w:val="0"/>
          <w:bCs w:val="0"/>
          <w:spacing w:val="0"/>
          <w:sz w:val="32"/>
          <w:szCs w:val="32"/>
          <w:lang w:val="en-US" w:eastAsia="zh-CN"/>
        </w:rPr>
        <w:t>中铁二局集团有限公司G3033奎屯－独山子－库车高速公路建设项目KDK-TJSG-4标段项目总承包部项目经理4部（表土剥离堆放区）临时用地土地复垦方案报告书</w:t>
      </w:r>
      <w:r>
        <w:rPr>
          <w:rFonts w:hint="default" w:ascii="Times New Roman" w:hAnsi="Times New Roman" w:eastAsia="方正仿宋_GBK" w:cs="Times New Roman"/>
          <w:b w:val="0"/>
          <w:bCs w:val="0"/>
          <w:spacing w:val="0"/>
          <w:sz w:val="32"/>
          <w:szCs w:val="32"/>
          <w:lang w:val="en-US" w:eastAsia="zh-CN"/>
        </w:rPr>
        <w:t>》，征询公众意见</w:t>
      </w:r>
      <w:r>
        <w:rPr>
          <w:rFonts w:hint="eastAsia" w:ascii="Times New Roman" w:hAnsi="Times New Roman" w:eastAsia="方正仿宋_GBK" w:cs="Times New Roman"/>
          <w:b w:val="0"/>
          <w:bCs w:val="0"/>
          <w:spacing w:val="0"/>
          <w:sz w:val="32"/>
          <w:szCs w:val="32"/>
          <w:lang w:val="en-US" w:eastAsia="zh-CN"/>
        </w:rPr>
        <w:t>建议</w:t>
      </w:r>
      <w:r>
        <w:rPr>
          <w:rFonts w:hint="default" w:ascii="Times New Roman" w:hAnsi="Times New Roman" w:eastAsia="方正仿宋_GBK" w:cs="Times New Roman"/>
          <w:b w:val="0"/>
          <w:bCs w:val="0"/>
          <w:spacing w:val="0"/>
          <w:sz w:val="32"/>
          <w:szCs w:val="32"/>
          <w:lang w:val="en-US" w:eastAsia="zh-CN"/>
        </w:rPr>
        <w:t>，公示如下：</w:t>
      </w:r>
    </w:p>
    <w:p w14:paraId="08F26E66">
      <w:pPr>
        <w:keepNext w:val="0"/>
        <w:keepLines w:val="0"/>
        <w:pageBreakBefore w:val="0"/>
        <w:wordWrap/>
        <w:overflowPunct/>
        <w:topLinePunct w:val="0"/>
        <w:bidi w:val="0"/>
        <w:adjustRightInd w:val="0"/>
        <w:spacing w:line="520" w:lineRule="exact"/>
        <w:ind w:firstLine="640" w:firstLineChars="200"/>
        <w:rPr>
          <w:rFonts w:hint="default" w:ascii="Times New Roman" w:hAnsi="Times New Roman" w:eastAsia="方正黑体_GBK" w:cs="Times New Roman"/>
          <w:b w:val="0"/>
          <w:bCs w:val="0"/>
          <w:snapToGrid w:val="0"/>
          <w:color w:val="000000"/>
          <w:kern w:val="0"/>
          <w:sz w:val="32"/>
          <w:szCs w:val="32"/>
          <w:lang w:val="en-US" w:eastAsia="zh-CN" w:bidi="ar-SA"/>
        </w:rPr>
      </w:pPr>
      <w:bookmarkStart w:id="0" w:name="_Toc340440652"/>
      <w:bookmarkStart w:id="1" w:name="_Toc8106"/>
      <w:bookmarkStart w:id="2" w:name="_Toc22955"/>
      <w:bookmarkStart w:id="3" w:name="_Toc341112431"/>
      <w:bookmarkStart w:id="4" w:name="_Toc18372"/>
      <w:bookmarkStart w:id="5" w:name="_Toc340565569"/>
      <w:bookmarkStart w:id="6" w:name="_Toc82249315"/>
      <w:bookmarkStart w:id="7" w:name="_Toc340565702"/>
      <w:r>
        <w:rPr>
          <w:rFonts w:hint="default" w:ascii="Times New Roman" w:hAnsi="Times New Roman" w:eastAsia="方正黑体_GBK" w:cs="Times New Roman"/>
          <w:b w:val="0"/>
          <w:bCs w:val="0"/>
          <w:snapToGrid w:val="0"/>
          <w:color w:val="000000"/>
          <w:kern w:val="0"/>
          <w:sz w:val="32"/>
          <w:szCs w:val="32"/>
          <w:lang w:val="en-US" w:eastAsia="zh-CN" w:bidi="ar-SA"/>
        </w:rPr>
        <w:t>1.1编制背景及过程</w:t>
      </w:r>
      <w:bookmarkEnd w:id="0"/>
      <w:bookmarkEnd w:id="1"/>
      <w:bookmarkEnd w:id="2"/>
      <w:bookmarkEnd w:id="3"/>
      <w:bookmarkEnd w:id="4"/>
      <w:bookmarkEnd w:id="5"/>
      <w:bookmarkEnd w:id="6"/>
      <w:bookmarkEnd w:id="7"/>
    </w:p>
    <w:p w14:paraId="1EBFED29">
      <w:pPr>
        <w:pStyle w:val="5"/>
        <w:keepNext w:val="0"/>
        <w:keepLines w:val="0"/>
        <w:pageBreakBefore w:val="0"/>
        <w:widowControl w:val="0"/>
        <w:kinsoku/>
        <w:wordWrap/>
        <w:overflowPunct/>
        <w:topLinePunct w:val="0"/>
        <w:autoSpaceDE/>
        <w:autoSpaceDN/>
        <w:bidi w:val="0"/>
        <w:adjustRightInd/>
        <w:snapToGrid/>
        <w:spacing w:after="0" w:line="540" w:lineRule="exact"/>
        <w:ind w:left="119" w:right="88" w:rightChars="42" w:firstLine="640" w:firstLineChars="200"/>
        <w:jc w:val="both"/>
        <w:textAlignment w:val="auto"/>
        <w:rPr>
          <w:rFonts w:hint="default" w:ascii="Times New Roman" w:hAnsi="Times New Roman" w:eastAsia="方正仿宋_GBK" w:cs="Times New Roman"/>
          <w:snapToGrid w:val="0"/>
          <w:color w:val="000000"/>
          <w:kern w:val="0"/>
          <w:sz w:val="32"/>
          <w:szCs w:val="32"/>
          <w:lang w:val="en-US" w:eastAsia="zh-CN" w:bidi="ar-SA"/>
        </w:rPr>
      </w:pPr>
      <w:bookmarkStart w:id="8" w:name="_Toc5914"/>
      <w:bookmarkStart w:id="9" w:name="_Toc16492"/>
      <w:bookmarkStart w:id="10" w:name="_Toc82249316"/>
      <w:bookmarkStart w:id="11" w:name="_Toc341112432"/>
      <w:bookmarkStart w:id="12" w:name="_Toc340565570"/>
      <w:bookmarkStart w:id="13" w:name="_Toc340440653"/>
      <w:bookmarkStart w:id="14" w:name="_Toc340565703"/>
      <w:bookmarkStart w:id="15" w:name="_Toc25351"/>
      <w:r>
        <w:rPr>
          <w:rFonts w:hint="default" w:ascii="Times New Roman" w:hAnsi="Times New Roman" w:eastAsia="方正仿宋_GBK" w:cs="Times New Roman"/>
          <w:snapToGrid w:val="0"/>
          <w:color w:val="000000"/>
          <w:kern w:val="0"/>
          <w:sz w:val="32"/>
          <w:szCs w:val="32"/>
          <w:lang w:val="en-US" w:eastAsia="zh-CN" w:bidi="ar-SA"/>
        </w:rPr>
        <w:t>土地资源是国家重要的自然资源，土地资源的开发利用有力地支持了各项生产建设。但是随着社会的进步和经济的发展，现代生产建设工程在地质勘探、矿物开采、能源开发、交通建设、建筑工程以及其他建设过程中使得土地资源受到严重的破坏，对人民群众的生活、生产及生态环境都将带来严重的影响。</w:t>
      </w:r>
    </w:p>
    <w:p w14:paraId="4539AB73">
      <w:pPr>
        <w:pStyle w:val="5"/>
        <w:keepNext w:val="0"/>
        <w:keepLines w:val="0"/>
        <w:pageBreakBefore w:val="0"/>
        <w:widowControl w:val="0"/>
        <w:kinsoku/>
        <w:wordWrap/>
        <w:overflowPunct/>
        <w:topLinePunct w:val="0"/>
        <w:autoSpaceDE/>
        <w:autoSpaceDN/>
        <w:bidi w:val="0"/>
        <w:adjustRightInd/>
        <w:snapToGrid/>
        <w:spacing w:after="0" w:line="540" w:lineRule="exact"/>
        <w:ind w:left="119" w:right="88" w:rightChars="42" w:firstLine="640" w:firstLineChars="200"/>
        <w:jc w:val="both"/>
        <w:textAlignment w:val="auto"/>
        <w:rPr>
          <w:rFonts w:hint="default" w:ascii="Times New Roman" w:hAnsi="Times New Roman" w:eastAsia="方正仿宋_GBK" w:cs="Times New Roman"/>
          <w:snapToGrid w:val="0"/>
          <w:color w:val="000000"/>
          <w:kern w:val="0"/>
          <w:sz w:val="32"/>
          <w:szCs w:val="32"/>
          <w:lang w:val="en-US" w:eastAsia="zh-CN" w:bidi="ar-SA"/>
        </w:rPr>
      </w:pPr>
      <w:r>
        <w:rPr>
          <w:rFonts w:hint="default" w:ascii="Times New Roman" w:hAnsi="Times New Roman" w:eastAsia="方正仿宋_GBK" w:cs="Times New Roman"/>
          <w:snapToGrid w:val="0"/>
          <w:color w:val="000000"/>
          <w:kern w:val="0"/>
          <w:sz w:val="32"/>
          <w:szCs w:val="32"/>
          <w:lang w:val="en-US" w:eastAsia="zh-CN" w:bidi="ar-SA"/>
        </w:rPr>
        <w:t>为保护和改善拟建项目周边环境，实现社会经济与生态环境可持续发展，用地单位为贯彻落实《土地复垦条例》和《土地复垦条例实施办法》精神，预防和控制本项目施工建设及运营阶段的土地损毁面积，并及时复垦利用被损毁的土地，充分挖掘废弃土地潜力，促进土地节约集约利用，中铁二局集团有限公司于2026年9月委托新疆宏景源企业管理有限公司编制《中铁二局集团有限公司G3033奎屯</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独山子</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库车高速公路项目KDK-TJSG-4标段项目总承包部项目经理4部</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表土剥离堆放区</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临时用地土地复垦方案报告书》。</w:t>
      </w:r>
    </w:p>
    <w:p w14:paraId="3C0326B0">
      <w:pPr>
        <w:pStyle w:val="5"/>
        <w:keepNext w:val="0"/>
        <w:keepLines w:val="0"/>
        <w:pageBreakBefore w:val="0"/>
        <w:widowControl w:val="0"/>
        <w:kinsoku/>
        <w:wordWrap/>
        <w:overflowPunct/>
        <w:topLinePunct w:val="0"/>
        <w:autoSpaceDE/>
        <w:autoSpaceDN/>
        <w:bidi w:val="0"/>
        <w:adjustRightInd/>
        <w:snapToGrid/>
        <w:spacing w:after="0" w:line="540" w:lineRule="exact"/>
        <w:ind w:left="119" w:right="88" w:rightChars="42" w:firstLine="640" w:firstLineChars="200"/>
        <w:jc w:val="both"/>
        <w:textAlignment w:val="auto"/>
        <w:rPr>
          <w:rFonts w:hint="default" w:ascii="Times New Roman" w:hAnsi="Times New Roman" w:eastAsia="方正仿宋_GBK" w:cs="Times New Roman"/>
          <w:snapToGrid w:val="0"/>
          <w:color w:val="000000"/>
          <w:kern w:val="0"/>
          <w:sz w:val="32"/>
          <w:szCs w:val="32"/>
          <w:lang w:val="en-US" w:eastAsia="zh-CN" w:bidi="ar-SA"/>
        </w:rPr>
      </w:pPr>
      <w:r>
        <w:rPr>
          <w:rFonts w:hint="default" w:ascii="Times New Roman" w:hAnsi="Times New Roman" w:eastAsia="方正仿宋_GBK" w:cs="Times New Roman"/>
          <w:snapToGrid w:val="0"/>
          <w:color w:val="000000"/>
          <w:kern w:val="0"/>
          <w:sz w:val="32"/>
          <w:szCs w:val="32"/>
          <w:lang w:val="en-US" w:eastAsia="zh-CN" w:bidi="ar-SA"/>
        </w:rPr>
        <w:t>接受委托后，</w:t>
      </w:r>
      <w:r>
        <w:rPr>
          <w:rFonts w:hint="eastAsia" w:ascii="Times New Roman" w:hAnsi="Times New Roman" w:eastAsia="方正仿宋_GBK" w:cs="Times New Roman"/>
          <w:snapToGrid w:val="0"/>
          <w:color w:val="000000"/>
          <w:kern w:val="0"/>
          <w:sz w:val="32"/>
          <w:szCs w:val="32"/>
          <w:lang w:val="en-US" w:eastAsia="zh-CN" w:bidi="ar-SA"/>
        </w:rPr>
        <w:t>该</w:t>
      </w:r>
      <w:r>
        <w:rPr>
          <w:rFonts w:hint="default" w:ascii="Times New Roman" w:hAnsi="Times New Roman" w:eastAsia="方正仿宋_GBK" w:cs="Times New Roman"/>
          <w:snapToGrid w:val="0"/>
          <w:color w:val="000000"/>
          <w:kern w:val="0"/>
          <w:sz w:val="32"/>
          <w:szCs w:val="32"/>
          <w:lang w:val="en-US" w:eastAsia="zh-CN" w:bidi="ar-SA"/>
        </w:rPr>
        <w:t>单位编制组成员，对项目区的土地利用现状与规划进行了调查，收集了相关基础资料，走访了相关职能部门和土地权利人，咨询和了解了《巴音郭楞蒙古自治州国土空间总体规划（2021—2035年）</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和静县国土空间总体规划（2021—2035年）》和相关土地复垦规定，并严格按照《土地复垦方案编制规程》和《自然资源部关于规范临时用地管理的通知》（自然资规〔2021〕2号）的相关规定进行编制，并反复讨论修改，最终形成《中铁二局集团有限公司G3033奎屯</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独山子</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库车高速公路项目KDK-TJSG-4标段项目总承包部项目经理4部</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表土剥离堆放区</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临时用地土地复垦方案报告书》。</w:t>
      </w:r>
    </w:p>
    <w:p w14:paraId="218DCA11">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1.2复垦方案摘要</w:t>
      </w:r>
      <w:bookmarkEnd w:id="8"/>
      <w:bookmarkEnd w:id="9"/>
      <w:bookmarkEnd w:id="10"/>
      <w:bookmarkEnd w:id="11"/>
      <w:bookmarkEnd w:id="12"/>
      <w:bookmarkEnd w:id="13"/>
      <w:bookmarkEnd w:id="14"/>
      <w:bookmarkEnd w:id="15"/>
      <w:r>
        <w:rPr>
          <w:rFonts w:hint="default" w:ascii="Times New Roman" w:hAnsi="Times New Roman" w:eastAsia="方正黑体_GBK" w:cs="Times New Roman"/>
          <w:b w:val="0"/>
          <w:bCs w:val="0"/>
          <w:snapToGrid w:val="0"/>
          <w:color w:val="000000"/>
          <w:kern w:val="0"/>
          <w:sz w:val="32"/>
          <w:szCs w:val="32"/>
          <w:lang w:val="en-US" w:eastAsia="zh-CN" w:bidi="ar-SA"/>
        </w:rPr>
        <w:tab/>
      </w:r>
    </w:p>
    <w:p w14:paraId="387ED20A">
      <w:pPr>
        <w:keepNext w:val="0"/>
        <w:keepLines w:val="0"/>
        <w:pageBreakBefore w:val="0"/>
        <w:widowControl/>
        <w:kinsoku w:val="0"/>
        <w:wordWrap/>
        <w:overflowPunct/>
        <w:topLinePunct w:val="0"/>
        <w:autoSpaceDE w:val="0"/>
        <w:autoSpaceDN w:val="0"/>
        <w:bidi w:val="0"/>
        <w:adjustRightInd w:val="0"/>
        <w:snapToGrid w:val="0"/>
        <w:spacing w:line="520" w:lineRule="exact"/>
        <w:ind w:firstLine="640" w:firstLineChars="200"/>
        <w:textAlignment w:val="baseline"/>
        <w:outlineLvl w:val="2"/>
        <w:rPr>
          <w:rFonts w:hint="eastAsia" w:ascii="方正楷体_GBK" w:hAnsi="方正楷体_GBK" w:eastAsia="方正楷体_GBK" w:cs="方正楷体_GBK"/>
          <w:sz w:val="32"/>
          <w:szCs w:val="32"/>
        </w:rPr>
      </w:pPr>
      <w:bookmarkStart w:id="16" w:name="_Toc82249317"/>
      <w:bookmarkStart w:id="17" w:name="_Toc82249318"/>
      <w:r>
        <w:rPr>
          <w:rFonts w:hint="eastAsia" w:ascii="方正楷体_GBK" w:hAnsi="方正楷体_GBK" w:eastAsia="方正楷体_GBK" w:cs="方正楷体_GBK"/>
          <w:sz w:val="32"/>
          <w:szCs w:val="32"/>
        </w:rPr>
        <w:t>1.2.1服务年限</w:t>
      </w:r>
      <w:bookmarkEnd w:id="16"/>
    </w:p>
    <w:bookmarkEnd w:id="17"/>
    <w:p w14:paraId="1487640E">
      <w:pPr>
        <w:pStyle w:val="5"/>
        <w:keepNext w:val="0"/>
        <w:keepLines w:val="0"/>
        <w:pageBreakBefore w:val="0"/>
        <w:widowControl w:val="0"/>
        <w:kinsoku/>
        <w:wordWrap/>
        <w:overflowPunct/>
        <w:topLinePunct w:val="0"/>
        <w:autoSpaceDE/>
        <w:autoSpaceDN/>
        <w:bidi w:val="0"/>
        <w:adjustRightInd/>
        <w:snapToGrid/>
        <w:spacing w:after="0" w:line="520" w:lineRule="exact"/>
        <w:ind w:left="119" w:right="88" w:rightChars="42" w:firstLine="640" w:firstLineChars="200"/>
        <w:jc w:val="both"/>
        <w:textAlignment w:val="auto"/>
        <w:rPr>
          <w:rFonts w:hint="default" w:ascii="Times New Roman" w:hAnsi="Times New Roman" w:eastAsia="方正仿宋_GBK" w:cs="Times New Roman"/>
          <w:snapToGrid w:val="0"/>
          <w:color w:val="000000"/>
          <w:kern w:val="0"/>
          <w:sz w:val="32"/>
          <w:szCs w:val="32"/>
          <w:lang w:val="en-US" w:eastAsia="zh-CN" w:bidi="ar-SA"/>
        </w:rPr>
      </w:pPr>
      <w:r>
        <w:rPr>
          <w:rFonts w:hint="default" w:ascii="Times New Roman" w:hAnsi="Times New Roman" w:eastAsia="方正仿宋_GBK" w:cs="Times New Roman"/>
          <w:snapToGrid w:val="0"/>
          <w:color w:val="000000"/>
          <w:kern w:val="0"/>
          <w:sz w:val="32"/>
          <w:szCs w:val="32"/>
          <w:lang w:val="en-US" w:eastAsia="zh-CN" w:bidi="ar-SA"/>
        </w:rPr>
        <w:t>工程建设期：本项目工程建设期约为48个月，即2026年</w:t>
      </w:r>
      <w:r>
        <w:rPr>
          <w:rFonts w:hint="eastAsia" w:ascii="Times New Roman" w:hAnsi="Times New Roman" w:eastAsia="方正仿宋_GBK" w:cs="Times New Roman"/>
          <w:snapToGrid w:val="0"/>
          <w:color w:val="000000"/>
          <w:kern w:val="0"/>
          <w:sz w:val="32"/>
          <w:szCs w:val="32"/>
          <w:lang w:val="en-US" w:eastAsia="zh-CN" w:bidi="ar-SA"/>
        </w:rPr>
        <w:t>10</w:t>
      </w:r>
      <w:r>
        <w:rPr>
          <w:rFonts w:hint="default" w:ascii="Times New Roman" w:hAnsi="Times New Roman" w:eastAsia="方正仿宋_GBK" w:cs="Times New Roman"/>
          <w:snapToGrid w:val="0"/>
          <w:color w:val="000000"/>
          <w:kern w:val="0"/>
          <w:sz w:val="32"/>
          <w:szCs w:val="32"/>
          <w:lang w:val="en-US" w:eastAsia="zh-CN" w:bidi="ar-SA"/>
        </w:rPr>
        <w:t>月</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2030年</w:t>
      </w:r>
      <w:r>
        <w:rPr>
          <w:rFonts w:hint="eastAsia" w:ascii="Times New Roman" w:hAnsi="Times New Roman" w:eastAsia="方正仿宋_GBK" w:cs="Times New Roman"/>
          <w:snapToGrid w:val="0"/>
          <w:color w:val="000000"/>
          <w:kern w:val="0"/>
          <w:sz w:val="32"/>
          <w:szCs w:val="32"/>
          <w:lang w:val="en-US" w:eastAsia="zh-CN" w:bidi="ar-SA"/>
        </w:rPr>
        <w:t>9</w:t>
      </w:r>
      <w:r>
        <w:rPr>
          <w:rFonts w:hint="default" w:ascii="Times New Roman" w:hAnsi="Times New Roman" w:eastAsia="方正仿宋_GBK" w:cs="Times New Roman"/>
          <w:snapToGrid w:val="0"/>
          <w:color w:val="000000"/>
          <w:kern w:val="0"/>
          <w:sz w:val="32"/>
          <w:szCs w:val="32"/>
          <w:lang w:val="en-US" w:eastAsia="zh-CN" w:bidi="ar-SA"/>
        </w:rPr>
        <w:t>月。方案服务年限=工程建设期+管护期。该项目建设工期为48个月，即2026年</w:t>
      </w:r>
      <w:r>
        <w:rPr>
          <w:rFonts w:hint="eastAsia" w:ascii="Times New Roman" w:hAnsi="Times New Roman" w:eastAsia="方正仿宋_GBK" w:cs="Times New Roman"/>
          <w:snapToGrid w:val="0"/>
          <w:color w:val="000000"/>
          <w:kern w:val="0"/>
          <w:sz w:val="32"/>
          <w:szCs w:val="32"/>
          <w:lang w:val="en-US" w:eastAsia="zh-CN" w:bidi="ar-SA"/>
        </w:rPr>
        <w:t>10</w:t>
      </w:r>
      <w:r>
        <w:rPr>
          <w:rFonts w:hint="default" w:ascii="Times New Roman" w:hAnsi="Times New Roman" w:eastAsia="方正仿宋_GBK" w:cs="Times New Roman"/>
          <w:snapToGrid w:val="0"/>
          <w:color w:val="000000"/>
          <w:kern w:val="0"/>
          <w:sz w:val="32"/>
          <w:szCs w:val="32"/>
          <w:lang w:val="en-US" w:eastAsia="zh-CN" w:bidi="ar-SA"/>
        </w:rPr>
        <w:t>月至2030年</w:t>
      </w:r>
      <w:r>
        <w:rPr>
          <w:rFonts w:hint="eastAsia" w:ascii="Times New Roman" w:hAnsi="Times New Roman" w:eastAsia="方正仿宋_GBK" w:cs="Times New Roman"/>
          <w:snapToGrid w:val="0"/>
          <w:color w:val="000000"/>
          <w:kern w:val="0"/>
          <w:sz w:val="32"/>
          <w:szCs w:val="32"/>
          <w:lang w:val="en-US" w:eastAsia="zh-CN" w:bidi="ar-SA"/>
        </w:rPr>
        <w:t>9</w:t>
      </w:r>
      <w:r>
        <w:rPr>
          <w:rFonts w:hint="default" w:ascii="Times New Roman" w:hAnsi="Times New Roman" w:eastAsia="方正仿宋_GBK" w:cs="Times New Roman"/>
          <w:snapToGrid w:val="0"/>
          <w:color w:val="000000"/>
          <w:kern w:val="0"/>
          <w:sz w:val="32"/>
          <w:szCs w:val="32"/>
          <w:lang w:val="en-US" w:eastAsia="zh-CN" w:bidi="ar-SA"/>
        </w:rPr>
        <w:t>月，复垦施工期6个月，即20</w:t>
      </w:r>
      <w:r>
        <w:rPr>
          <w:rFonts w:hint="eastAsia" w:ascii="Times New Roman" w:hAnsi="Times New Roman" w:eastAsia="方正仿宋_GBK" w:cs="Times New Roman"/>
          <w:snapToGrid w:val="0"/>
          <w:color w:val="000000"/>
          <w:kern w:val="0"/>
          <w:sz w:val="32"/>
          <w:szCs w:val="32"/>
          <w:lang w:val="en-US" w:eastAsia="zh-CN" w:bidi="ar-SA"/>
        </w:rPr>
        <w:t>30</w:t>
      </w:r>
      <w:r>
        <w:rPr>
          <w:rFonts w:hint="default" w:ascii="Times New Roman" w:hAnsi="Times New Roman" w:eastAsia="方正仿宋_GBK" w:cs="Times New Roman"/>
          <w:snapToGrid w:val="0"/>
          <w:color w:val="000000"/>
          <w:kern w:val="0"/>
          <w:sz w:val="32"/>
          <w:szCs w:val="32"/>
          <w:lang w:val="en-US" w:eastAsia="zh-CN" w:bidi="ar-SA"/>
        </w:rPr>
        <w:t>年</w:t>
      </w:r>
      <w:r>
        <w:rPr>
          <w:rFonts w:hint="eastAsia" w:ascii="Times New Roman" w:hAnsi="Times New Roman" w:eastAsia="方正仿宋_GBK" w:cs="Times New Roman"/>
          <w:snapToGrid w:val="0"/>
          <w:color w:val="000000"/>
          <w:kern w:val="0"/>
          <w:sz w:val="32"/>
          <w:szCs w:val="32"/>
          <w:lang w:val="en-US" w:eastAsia="zh-CN" w:bidi="ar-SA"/>
        </w:rPr>
        <w:t>10</w:t>
      </w:r>
      <w:r>
        <w:rPr>
          <w:rFonts w:hint="default" w:ascii="Times New Roman" w:hAnsi="Times New Roman" w:eastAsia="方正仿宋_GBK" w:cs="Times New Roman"/>
          <w:snapToGrid w:val="0"/>
          <w:color w:val="000000"/>
          <w:kern w:val="0"/>
          <w:sz w:val="32"/>
          <w:szCs w:val="32"/>
          <w:lang w:val="en-US" w:eastAsia="zh-CN" w:bidi="ar-SA"/>
        </w:rPr>
        <w:t>月至203</w:t>
      </w:r>
      <w:r>
        <w:rPr>
          <w:rFonts w:hint="eastAsia" w:ascii="Times New Roman" w:hAnsi="Times New Roman" w:eastAsia="方正仿宋_GBK" w:cs="Times New Roman"/>
          <w:snapToGrid w:val="0"/>
          <w:color w:val="000000"/>
          <w:kern w:val="0"/>
          <w:sz w:val="32"/>
          <w:szCs w:val="32"/>
          <w:lang w:val="en-US" w:eastAsia="zh-CN" w:bidi="ar-SA"/>
        </w:rPr>
        <w:t>1</w:t>
      </w:r>
      <w:r>
        <w:rPr>
          <w:rFonts w:hint="default" w:ascii="Times New Roman" w:hAnsi="Times New Roman" w:eastAsia="方正仿宋_GBK" w:cs="Times New Roman"/>
          <w:snapToGrid w:val="0"/>
          <w:color w:val="000000"/>
          <w:kern w:val="0"/>
          <w:sz w:val="32"/>
          <w:szCs w:val="32"/>
          <w:lang w:val="en-US" w:eastAsia="zh-CN" w:bidi="ar-SA"/>
        </w:rPr>
        <w:t>年</w:t>
      </w:r>
      <w:r>
        <w:rPr>
          <w:rFonts w:hint="eastAsia" w:ascii="Times New Roman" w:hAnsi="Times New Roman" w:eastAsia="方正仿宋_GBK" w:cs="Times New Roman"/>
          <w:snapToGrid w:val="0"/>
          <w:color w:val="000000"/>
          <w:kern w:val="0"/>
          <w:sz w:val="32"/>
          <w:szCs w:val="32"/>
          <w:lang w:val="en-US" w:eastAsia="zh-CN" w:bidi="ar-SA"/>
        </w:rPr>
        <w:t>3</w:t>
      </w:r>
      <w:r>
        <w:rPr>
          <w:rFonts w:hint="default" w:ascii="Times New Roman" w:hAnsi="Times New Roman" w:eastAsia="方正仿宋_GBK" w:cs="Times New Roman"/>
          <w:snapToGrid w:val="0"/>
          <w:color w:val="000000"/>
          <w:kern w:val="0"/>
          <w:sz w:val="32"/>
          <w:szCs w:val="32"/>
          <w:lang w:val="en-US" w:eastAsia="zh-CN" w:bidi="ar-SA"/>
        </w:rPr>
        <w:t>月，经现场实地踏勘，用地范围内</w:t>
      </w:r>
      <w:r>
        <w:rPr>
          <w:rFonts w:hint="eastAsia" w:ascii="Times New Roman" w:hAnsi="Times New Roman" w:eastAsia="方正仿宋_GBK" w:cs="Times New Roman"/>
          <w:snapToGrid w:val="0"/>
          <w:color w:val="000000"/>
          <w:kern w:val="0"/>
          <w:sz w:val="32"/>
          <w:szCs w:val="32"/>
          <w:lang w:val="en-US" w:eastAsia="zh-CN" w:bidi="ar-SA"/>
        </w:rPr>
        <w:t>三调地类为</w:t>
      </w:r>
      <w:r>
        <w:rPr>
          <w:rFonts w:hint="default" w:ascii="Times New Roman" w:hAnsi="Times New Roman" w:eastAsia="方正仿宋_GBK" w:cs="Times New Roman"/>
          <w:snapToGrid w:val="0"/>
          <w:color w:val="000000"/>
          <w:kern w:val="0"/>
          <w:sz w:val="32"/>
          <w:szCs w:val="32"/>
          <w:lang w:val="en-US" w:eastAsia="zh-CN" w:bidi="ar-SA"/>
        </w:rPr>
        <w:t>河流水面，现状</w:t>
      </w:r>
      <w:r>
        <w:rPr>
          <w:rFonts w:hint="eastAsia" w:ascii="Times New Roman" w:hAnsi="Times New Roman" w:eastAsia="方正仿宋_GBK" w:cs="Times New Roman"/>
          <w:snapToGrid w:val="0"/>
          <w:color w:val="000000"/>
          <w:kern w:val="0"/>
          <w:sz w:val="32"/>
          <w:szCs w:val="32"/>
          <w:lang w:val="en-US" w:eastAsia="zh-CN" w:bidi="ar-SA"/>
        </w:rPr>
        <w:t>为非主体水面，</w:t>
      </w:r>
      <w:r>
        <w:rPr>
          <w:rFonts w:hint="default" w:ascii="Times New Roman" w:hAnsi="Times New Roman" w:eastAsia="方正仿宋_GBK" w:cs="Times New Roman"/>
          <w:snapToGrid w:val="0"/>
          <w:color w:val="000000"/>
          <w:kern w:val="0"/>
          <w:sz w:val="32"/>
          <w:szCs w:val="32"/>
          <w:lang w:val="en-US" w:eastAsia="zh-CN" w:bidi="ar-SA"/>
        </w:rPr>
        <w:t>为河流</w:t>
      </w:r>
      <w:r>
        <w:rPr>
          <w:rFonts w:hint="eastAsia" w:ascii="Times New Roman" w:hAnsi="Times New Roman" w:eastAsia="方正仿宋_GBK" w:cs="Times New Roman"/>
          <w:snapToGrid w:val="0"/>
          <w:color w:val="000000"/>
          <w:kern w:val="0"/>
          <w:sz w:val="32"/>
          <w:szCs w:val="32"/>
          <w:lang w:val="en-US" w:eastAsia="zh-CN" w:bidi="ar-SA"/>
        </w:rPr>
        <w:t>保护范围用地</w:t>
      </w:r>
      <w:r>
        <w:rPr>
          <w:rFonts w:hint="default" w:ascii="Times New Roman" w:hAnsi="Times New Roman" w:eastAsia="方正仿宋_GBK" w:cs="Times New Roman"/>
          <w:snapToGrid w:val="0"/>
          <w:color w:val="000000"/>
          <w:kern w:val="0"/>
          <w:sz w:val="32"/>
          <w:szCs w:val="32"/>
          <w:lang w:val="en-US" w:eastAsia="zh-CN" w:bidi="ar-SA"/>
        </w:rPr>
        <w:t>，植被覆盖度20%～30%，施工完毕后采取植被重建措施恢复地表植被，并设置3年的管护期，即2030年</w:t>
      </w:r>
      <w:r>
        <w:rPr>
          <w:rFonts w:hint="eastAsia" w:ascii="Times New Roman" w:hAnsi="Times New Roman" w:eastAsia="方正仿宋_GBK" w:cs="Times New Roman"/>
          <w:snapToGrid w:val="0"/>
          <w:color w:val="000000"/>
          <w:kern w:val="0"/>
          <w:sz w:val="32"/>
          <w:szCs w:val="32"/>
          <w:lang w:val="en-US" w:eastAsia="zh-CN" w:bidi="ar-SA"/>
        </w:rPr>
        <w:t>10</w:t>
      </w:r>
      <w:r>
        <w:rPr>
          <w:rFonts w:hint="default" w:ascii="Times New Roman" w:hAnsi="Times New Roman" w:eastAsia="方正仿宋_GBK" w:cs="Times New Roman"/>
          <w:snapToGrid w:val="0"/>
          <w:color w:val="000000"/>
          <w:kern w:val="0"/>
          <w:sz w:val="32"/>
          <w:szCs w:val="32"/>
          <w:lang w:val="en-US" w:eastAsia="zh-CN" w:bidi="ar-SA"/>
        </w:rPr>
        <w:t>月至2033年</w:t>
      </w:r>
      <w:r>
        <w:rPr>
          <w:rFonts w:hint="eastAsia" w:ascii="Times New Roman" w:hAnsi="Times New Roman" w:eastAsia="方正仿宋_GBK" w:cs="Times New Roman"/>
          <w:snapToGrid w:val="0"/>
          <w:color w:val="000000"/>
          <w:kern w:val="0"/>
          <w:sz w:val="32"/>
          <w:szCs w:val="32"/>
          <w:lang w:val="en-US" w:eastAsia="zh-CN" w:bidi="ar-SA"/>
        </w:rPr>
        <w:t>9</w:t>
      </w:r>
      <w:r>
        <w:rPr>
          <w:rFonts w:hint="default" w:ascii="Times New Roman" w:hAnsi="Times New Roman" w:eastAsia="方正仿宋_GBK" w:cs="Times New Roman"/>
          <w:snapToGrid w:val="0"/>
          <w:color w:val="000000"/>
          <w:kern w:val="0"/>
          <w:sz w:val="32"/>
          <w:szCs w:val="32"/>
          <w:lang w:val="en-US" w:eastAsia="zh-CN" w:bidi="ar-SA"/>
        </w:rPr>
        <w:t>月。土地复垦方案的服务年限为84个月，即2026年</w:t>
      </w:r>
      <w:r>
        <w:rPr>
          <w:rFonts w:hint="eastAsia" w:ascii="Times New Roman" w:hAnsi="Times New Roman" w:eastAsia="方正仿宋_GBK" w:cs="Times New Roman"/>
          <w:snapToGrid w:val="0"/>
          <w:color w:val="000000"/>
          <w:kern w:val="0"/>
          <w:sz w:val="32"/>
          <w:szCs w:val="32"/>
          <w:lang w:val="en-US" w:eastAsia="zh-CN" w:bidi="ar-SA"/>
        </w:rPr>
        <w:t>10</w:t>
      </w:r>
      <w:r>
        <w:rPr>
          <w:rFonts w:hint="default" w:ascii="Times New Roman" w:hAnsi="Times New Roman" w:eastAsia="方正仿宋_GBK" w:cs="Times New Roman"/>
          <w:snapToGrid w:val="0"/>
          <w:color w:val="000000"/>
          <w:kern w:val="0"/>
          <w:sz w:val="32"/>
          <w:szCs w:val="32"/>
          <w:lang w:val="en-US" w:eastAsia="zh-CN" w:bidi="ar-SA"/>
        </w:rPr>
        <w:t>月至2033年</w:t>
      </w:r>
      <w:r>
        <w:rPr>
          <w:rFonts w:hint="eastAsia" w:ascii="Times New Roman" w:hAnsi="Times New Roman" w:eastAsia="方正仿宋_GBK" w:cs="Times New Roman"/>
          <w:snapToGrid w:val="0"/>
          <w:color w:val="000000"/>
          <w:kern w:val="0"/>
          <w:sz w:val="32"/>
          <w:szCs w:val="32"/>
          <w:lang w:val="en-US" w:eastAsia="zh-CN" w:bidi="ar-SA"/>
        </w:rPr>
        <w:t>9</w:t>
      </w:r>
      <w:r>
        <w:rPr>
          <w:rFonts w:hint="default" w:ascii="Times New Roman" w:hAnsi="Times New Roman" w:eastAsia="方正仿宋_GBK" w:cs="Times New Roman"/>
          <w:snapToGrid w:val="0"/>
          <w:color w:val="000000"/>
          <w:kern w:val="0"/>
          <w:sz w:val="32"/>
          <w:szCs w:val="32"/>
          <w:lang w:val="en-US" w:eastAsia="zh-CN" w:bidi="ar-SA"/>
        </w:rPr>
        <w:t>月。本项目</w:t>
      </w:r>
      <w:r>
        <w:rPr>
          <w:rFonts w:hint="eastAsia" w:ascii="Times New Roman" w:hAnsi="Times New Roman" w:eastAsia="方正仿宋_GBK" w:cs="Times New Roman"/>
          <w:snapToGrid w:val="0"/>
          <w:color w:val="000000"/>
          <w:kern w:val="0"/>
          <w:sz w:val="32"/>
          <w:szCs w:val="32"/>
          <w:lang w:val="en-US" w:eastAsia="zh-CN" w:bidi="ar-SA"/>
        </w:rPr>
        <w:t>不</w:t>
      </w:r>
      <w:r>
        <w:rPr>
          <w:rFonts w:hint="default" w:ascii="Times New Roman" w:hAnsi="Times New Roman" w:eastAsia="方正仿宋_GBK" w:cs="Times New Roman"/>
          <w:snapToGrid w:val="0"/>
          <w:color w:val="000000"/>
          <w:kern w:val="0"/>
          <w:sz w:val="32"/>
          <w:szCs w:val="32"/>
          <w:lang w:val="en-US" w:eastAsia="zh-CN" w:bidi="ar-SA"/>
        </w:rPr>
        <w:t>占</w:t>
      </w:r>
      <w:r>
        <w:rPr>
          <w:rFonts w:hint="eastAsia" w:ascii="Times New Roman" w:hAnsi="Times New Roman" w:eastAsia="方正仿宋_GBK" w:cs="Times New Roman"/>
          <w:snapToGrid w:val="0"/>
          <w:color w:val="000000"/>
          <w:kern w:val="0"/>
          <w:sz w:val="32"/>
          <w:szCs w:val="32"/>
          <w:lang w:val="en-US" w:eastAsia="zh-CN" w:bidi="ar-SA"/>
        </w:rPr>
        <w:t>用</w:t>
      </w:r>
      <w:r>
        <w:rPr>
          <w:rFonts w:hint="default" w:ascii="Times New Roman" w:hAnsi="Times New Roman" w:eastAsia="方正仿宋_GBK" w:cs="Times New Roman"/>
          <w:snapToGrid w:val="0"/>
          <w:color w:val="000000"/>
          <w:kern w:val="0"/>
          <w:sz w:val="32"/>
          <w:szCs w:val="32"/>
          <w:lang w:val="en-US" w:eastAsia="zh-CN" w:bidi="ar-SA"/>
        </w:rPr>
        <w:t>生态保护红线区。</w:t>
      </w:r>
    </w:p>
    <w:p w14:paraId="222ED660">
      <w:pPr>
        <w:keepNext w:val="0"/>
        <w:keepLines w:val="0"/>
        <w:pageBreakBefore w:val="0"/>
        <w:wordWrap/>
        <w:overflowPunct/>
        <w:topLinePunct w:val="0"/>
        <w:autoSpaceDE w:val="0"/>
        <w:autoSpaceDN w:val="0"/>
        <w:bidi w:val="0"/>
        <w:snapToGrid w:val="0"/>
        <w:spacing w:line="520" w:lineRule="exact"/>
        <w:ind w:firstLine="640" w:firstLineChars="200"/>
        <w:outlineLvl w:val="2"/>
        <w:rPr>
          <w:rFonts w:hint="default" w:ascii="方正楷体_GBK" w:hAnsi="方正楷体_GBK" w:eastAsia="方正楷体_GBK" w:cs="方正楷体_GBK"/>
          <w:sz w:val="32"/>
          <w:szCs w:val="32"/>
        </w:rPr>
      </w:pPr>
      <w:r>
        <w:rPr>
          <w:rFonts w:hint="default" w:ascii="方正楷体_GBK" w:hAnsi="方正楷体_GBK" w:eastAsia="方正楷体_GBK" w:cs="方正楷体_GBK"/>
          <w:sz w:val="32"/>
          <w:szCs w:val="32"/>
        </w:rPr>
        <w:t>1.2.2</w:t>
      </w:r>
      <w:r>
        <w:rPr>
          <w:rFonts w:hint="eastAsia" w:ascii="方正楷体_GBK" w:hAnsi="方正楷体_GBK" w:eastAsia="方正楷体_GBK" w:cs="方正楷体_GBK"/>
          <w:sz w:val="32"/>
          <w:szCs w:val="32"/>
          <w:lang w:val="en-US" w:eastAsia="zh-CN"/>
        </w:rPr>
        <w:t>临时用地</w:t>
      </w:r>
      <w:r>
        <w:rPr>
          <w:rFonts w:hint="default" w:ascii="方正楷体_GBK" w:hAnsi="方正楷体_GBK" w:eastAsia="方正楷体_GBK" w:cs="方正楷体_GBK"/>
          <w:sz w:val="32"/>
          <w:szCs w:val="32"/>
        </w:rPr>
        <w:t>涉及的各类土地面积</w:t>
      </w:r>
    </w:p>
    <w:p w14:paraId="5B44C804">
      <w:pPr>
        <w:pStyle w:val="5"/>
        <w:keepNext w:val="0"/>
        <w:keepLines w:val="0"/>
        <w:pageBreakBefore w:val="0"/>
        <w:widowControl w:val="0"/>
        <w:kinsoku/>
        <w:wordWrap/>
        <w:overflowPunct/>
        <w:topLinePunct w:val="0"/>
        <w:autoSpaceDE/>
        <w:autoSpaceDN/>
        <w:bidi w:val="0"/>
        <w:adjustRightInd/>
        <w:snapToGrid/>
        <w:spacing w:after="0" w:line="520" w:lineRule="exact"/>
        <w:ind w:left="119" w:right="88" w:rightChars="42" w:firstLine="640" w:firstLineChars="200"/>
        <w:jc w:val="both"/>
        <w:textAlignment w:val="auto"/>
        <w:rPr>
          <w:rFonts w:hint="default" w:ascii="Times New Roman" w:hAnsi="Times New Roman" w:eastAsia="方正仿宋_GBK" w:cs="Times New Roman"/>
          <w:snapToGrid w:val="0"/>
          <w:color w:val="000000"/>
          <w:kern w:val="0"/>
          <w:sz w:val="32"/>
          <w:szCs w:val="32"/>
          <w:lang w:val="en-US" w:eastAsia="zh-CN" w:bidi="ar-SA"/>
        </w:rPr>
      </w:pPr>
      <w:bookmarkStart w:id="18" w:name="_Toc82249319"/>
      <w:bookmarkStart w:id="19" w:name="OLE_LINK2"/>
      <w:bookmarkStart w:id="20" w:name="_Hlk228967561"/>
      <w:r>
        <w:rPr>
          <w:rFonts w:hint="default" w:ascii="Times New Roman" w:hAnsi="Times New Roman" w:eastAsia="方正仿宋_GBK" w:cs="Times New Roman"/>
          <w:snapToGrid w:val="0"/>
          <w:color w:val="000000"/>
          <w:kern w:val="0"/>
          <w:sz w:val="32"/>
          <w:szCs w:val="32"/>
          <w:lang w:val="en-US" w:eastAsia="zh-CN" w:bidi="ar-SA"/>
        </w:rPr>
        <w:t>中铁二局集团有限公司G3033奎屯</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独山子</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库车高速公路项目KDK-TJSG-4标段项目总承包部项目经理4部</w:t>
      </w:r>
      <w:r>
        <w:rPr>
          <w:rFonts w:hint="eastAsia" w:ascii="Times New Roman" w:hAnsi="Times New Roman" w:eastAsia="方正仿宋_GBK" w:cs="Times New Roman"/>
          <w:snapToGrid w:val="0"/>
          <w:color w:val="000000"/>
          <w:kern w:val="0"/>
          <w:sz w:val="32"/>
          <w:szCs w:val="32"/>
          <w:lang w:val="en-US" w:eastAsia="zh-CN" w:bidi="ar-SA"/>
        </w:rPr>
        <w:t>（表土剥离堆放区）</w:t>
      </w:r>
      <w:r>
        <w:rPr>
          <w:rFonts w:hint="default" w:ascii="Times New Roman" w:hAnsi="Times New Roman" w:eastAsia="方正仿宋_GBK" w:cs="Times New Roman"/>
          <w:snapToGrid w:val="0"/>
          <w:color w:val="000000"/>
          <w:kern w:val="0"/>
          <w:sz w:val="32"/>
          <w:szCs w:val="32"/>
          <w:lang w:val="en-US" w:eastAsia="zh-CN" w:bidi="ar-SA"/>
        </w:rPr>
        <w:t>临时用地项目占用土地</w:t>
      </w:r>
      <w:r>
        <w:rPr>
          <w:rFonts w:hint="eastAsia" w:ascii="Times New Roman" w:hAnsi="Times New Roman" w:eastAsia="方正仿宋_GBK" w:cs="Times New Roman"/>
          <w:snapToGrid w:val="0"/>
          <w:color w:val="000000"/>
          <w:kern w:val="0"/>
          <w:sz w:val="32"/>
          <w:szCs w:val="32"/>
          <w:lang w:val="en-US" w:eastAsia="zh-CN" w:bidi="ar-SA"/>
        </w:rPr>
        <w:t>2.6259</w:t>
      </w:r>
      <w:r>
        <w:rPr>
          <w:rFonts w:hint="default" w:ascii="Times New Roman" w:hAnsi="Times New Roman" w:eastAsia="方正仿宋_GBK" w:cs="Times New Roman"/>
          <w:snapToGrid w:val="0"/>
          <w:color w:val="000000"/>
          <w:kern w:val="0"/>
          <w:sz w:val="32"/>
          <w:szCs w:val="32"/>
          <w:lang w:val="en-US" w:eastAsia="zh-CN" w:bidi="ar-SA"/>
        </w:rPr>
        <w:t>公顷，地类以新疆自然资源―一张图</w:t>
      </w:r>
      <w:r>
        <w:rPr>
          <w:rFonts w:hint="eastAsia" w:ascii="Times New Roman" w:hAnsi="Times New Roman" w:eastAsia="方正仿宋_GBK" w:cs="Times New Roman"/>
          <w:snapToGrid w:val="0"/>
          <w:color w:val="000000"/>
          <w:kern w:val="0"/>
          <w:sz w:val="32"/>
          <w:szCs w:val="32"/>
          <w:lang w:val="en-US" w:eastAsia="zh-CN" w:bidi="ar-SA"/>
        </w:rPr>
        <w:t>Ⅱ</w:t>
      </w:r>
      <w:r>
        <w:rPr>
          <w:rFonts w:hint="default" w:ascii="Times New Roman" w:hAnsi="Times New Roman" w:eastAsia="方正仿宋_GBK" w:cs="Times New Roman"/>
          <w:snapToGrid w:val="0"/>
          <w:color w:val="000000"/>
          <w:kern w:val="0"/>
          <w:sz w:val="32"/>
          <w:szCs w:val="32"/>
          <w:lang w:val="en-US" w:eastAsia="zh-CN" w:bidi="ar-SA"/>
        </w:rPr>
        <w:t>查询分析系统地类对应《国土空间调查、规划、用途管制用地用海分类指南》自然资发〔2023〕234号转换为准，面积以用地单位提供的临时用地勘界成果为准。</w:t>
      </w:r>
    </w:p>
    <w:p w14:paraId="7DDE65F4">
      <w:pPr>
        <w:pStyle w:val="5"/>
        <w:keepNext w:val="0"/>
        <w:keepLines w:val="0"/>
        <w:pageBreakBefore w:val="0"/>
        <w:widowControl w:val="0"/>
        <w:kinsoku/>
        <w:wordWrap/>
        <w:overflowPunct/>
        <w:topLinePunct w:val="0"/>
        <w:autoSpaceDE/>
        <w:autoSpaceDN/>
        <w:bidi w:val="0"/>
        <w:adjustRightInd/>
        <w:snapToGrid/>
        <w:spacing w:after="0" w:line="520" w:lineRule="exact"/>
        <w:ind w:left="119" w:right="88" w:rightChars="42" w:firstLine="640" w:firstLineChars="200"/>
        <w:jc w:val="both"/>
        <w:textAlignment w:val="auto"/>
        <w:rPr>
          <w:rFonts w:hint="default" w:ascii="Times New Roman" w:hAnsi="Times New Roman" w:eastAsia="方正仿宋_GBK" w:cs="Times New Roman"/>
          <w:snapToGrid w:val="0"/>
          <w:color w:val="000000"/>
          <w:kern w:val="0"/>
          <w:sz w:val="32"/>
          <w:szCs w:val="32"/>
          <w:lang w:val="en-US" w:eastAsia="zh-CN" w:bidi="ar-SA"/>
        </w:rPr>
      </w:pPr>
      <w:r>
        <w:rPr>
          <w:rFonts w:hint="default" w:ascii="Times New Roman" w:hAnsi="Times New Roman" w:eastAsia="方正仿宋_GBK" w:cs="Times New Roman"/>
          <w:snapToGrid w:val="0"/>
          <w:color w:val="000000"/>
          <w:kern w:val="0"/>
          <w:sz w:val="32"/>
          <w:szCs w:val="32"/>
          <w:lang w:val="en-US" w:eastAsia="zh-CN" w:bidi="ar-SA"/>
        </w:rPr>
        <w:t>本项目临时用地分为</w:t>
      </w:r>
      <w:r>
        <w:rPr>
          <w:rFonts w:hint="eastAsia" w:ascii="Times New Roman" w:hAnsi="Times New Roman" w:eastAsia="方正仿宋_GBK" w:cs="Times New Roman"/>
          <w:snapToGrid w:val="0"/>
          <w:color w:val="000000"/>
          <w:kern w:val="0"/>
          <w:sz w:val="32"/>
          <w:szCs w:val="32"/>
          <w:lang w:val="en-US" w:eastAsia="zh-CN" w:bidi="ar-SA"/>
        </w:rPr>
        <w:t>1</w:t>
      </w:r>
      <w:r>
        <w:rPr>
          <w:rFonts w:hint="default" w:ascii="Times New Roman" w:hAnsi="Times New Roman" w:eastAsia="方正仿宋_GBK" w:cs="Times New Roman"/>
          <w:snapToGrid w:val="0"/>
          <w:color w:val="000000"/>
          <w:kern w:val="0"/>
          <w:sz w:val="32"/>
          <w:szCs w:val="32"/>
          <w:lang w:val="en-US" w:eastAsia="zh-CN" w:bidi="ar-SA"/>
        </w:rPr>
        <w:t>块宗地，总面积为</w:t>
      </w:r>
      <w:r>
        <w:rPr>
          <w:rFonts w:hint="eastAsia" w:ascii="Times New Roman" w:hAnsi="Times New Roman" w:eastAsia="方正仿宋_GBK" w:cs="Times New Roman"/>
          <w:snapToGrid w:val="0"/>
          <w:color w:val="000000"/>
          <w:kern w:val="0"/>
          <w:sz w:val="32"/>
          <w:szCs w:val="32"/>
          <w:lang w:val="en-US" w:eastAsia="zh-CN" w:bidi="ar-SA"/>
        </w:rPr>
        <w:t>2.6259</w:t>
      </w:r>
      <w:r>
        <w:rPr>
          <w:rFonts w:hint="default" w:ascii="Times New Roman" w:hAnsi="Times New Roman" w:eastAsia="方正仿宋_GBK" w:cs="Times New Roman"/>
          <w:snapToGrid w:val="0"/>
          <w:color w:val="000000"/>
          <w:kern w:val="0"/>
          <w:sz w:val="32"/>
          <w:szCs w:val="32"/>
          <w:lang w:val="en-US" w:eastAsia="zh-CN" w:bidi="ar-SA"/>
        </w:rPr>
        <w:t>公顷，其中</w:t>
      </w:r>
      <w:r>
        <w:rPr>
          <w:rFonts w:hint="eastAsia" w:ascii="Times New Roman" w:hAnsi="Times New Roman" w:eastAsia="方正仿宋_GBK" w:cs="Times New Roman"/>
          <w:snapToGrid w:val="0"/>
          <w:color w:val="000000"/>
          <w:kern w:val="0"/>
          <w:sz w:val="32"/>
          <w:szCs w:val="32"/>
          <w:lang w:val="en-US" w:eastAsia="zh-CN" w:bidi="ar-SA"/>
        </w:rPr>
        <w:t>河流水面2.6259公顷</w:t>
      </w:r>
      <w:r>
        <w:rPr>
          <w:rFonts w:hint="default" w:ascii="Times New Roman" w:hAnsi="Times New Roman" w:eastAsia="方正仿宋_GBK" w:cs="Times New Roman"/>
          <w:snapToGrid w:val="0"/>
          <w:color w:val="000000"/>
          <w:kern w:val="0"/>
          <w:sz w:val="32"/>
          <w:szCs w:val="32"/>
          <w:lang w:val="en-US" w:eastAsia="zh-CN" w:bidi="ar-SA"/>
        </w:rPr>
        <w:t>。复垦责任范围面积即为临时用地范围（拟损毁），本复垦方案复垦责任范围面积为</w:t>
      </w:r>
      <w:r>
        <w:rPr>
          <w:rFonts w:hint="eastAsia" w:ascii="Times New Roman" w:hAnsi="Times New Roman" w:eastAsia="方正仿宋_GBK" w:cs="Times New Roman"/>
          <w:snapToGrid w:val="0"/>
          <w:color w:val="000000"/>
          <w:kern w:val="0"/>
          <w:sz w:val="32"/>
          <w:szCs w:val="32"/>
          <w:lang w:val="en-US" w:eastAsia="zh-CN" w:bidi="ar-SA"/>
        </w:rPr>
        <w:t>2.6259</w:t>
      </w:r>
      <w:r>
        <w:rPr>
          <w:rFonts w:hint="default" w:ascii="Times New Roman" w:hAnsi="Times New Roman" w:eastAsia="方正仿宋_GBK" w:cs="Times New Roman"/>
          <w:snapToGrid w:val="0"/>
          <w:color w:val="000000"/>
          <w:kern w:val="0"/>
          <w:sz w:val="32"/>
          <w:szCs w:val="32"/>
          <w:lang w:val="en-US" w:eastAsia="zh-CN" w:bidi="ar-SA"/>
        </w:rPr>
        <w:t>公顷。方案涉及的土地面积详见表1-1。</w:t>
      </w:r>
    </w:p>
    <w:p w14:paraId="2C6B3449">
      <w:pPr>
        <w:pStyle w:val="5"/>
        <w:keepNext w:val="0"/>
        <w:keepLines w:val="0"/>
        <w:pageBreakBefore w:val="0"/>
        <w:widowControl w:val="0"/>
        <w:kinsoku/>
        <w:wordWrap/>
        <w:overflowPunct/>
        <w:topLinePunct w:val="0"/>
        <w:autoSpaceDE/>
        <w:autoSpaceDN/>
        <w:bidi w:val="0"/>
        <w:adjustRightInd/>
        <w:snapToGrid/>
        <w:spacing w:after="0" w:line="520" w:lineRule="exact"/>
        <w:ind w:right="88" w:rightChars="42"/>
        <w:jc w:val="center"/>
        <w:textAlignment w:val="auto"/>
        <w:rPr>
          <w:b/>
          <w:bCs/>
          <w:color w:val="auto"/>
          <w:sz w:val="24"/>
          <w:szCs w:val="24"/>
        </w:rPr>
      </w:pPr>
      <w:r>
        <w:rPr>
          <w:rFonts w:hint="eastAsia"/>
          <w:b/>
          <w:bCs/>
          <w:color w:val="auto"/>
          <w:sz w:val="24"/>
          <w:szCs w:val="24"/>
        </w:rPr>
        <w:t>表1-1方案涉及的土地面积</w:t>
      </w:r>
    </w:p>
    <w:tbl>
      <w:tblPr>
        <w:tblStyle w:val="11"/>
        <w:tblW w:w="8836" w:type="dxa"/>
        <w:jc w:val="center"/>
        <w:tblLayout w:type="fixed"/>
        <w:tblCellMar>
          <w:top w:w="0" w:type="dxa"/>
          <w:left w:w="0" w:type="dxa"/>
          <w:bottom w:w="0" w:type="dxa"/>
          <w:right w:w="0" w:type="dxa"/>
        </w:tblCellMar>
      </w:tblPr>
      <w:tblGrid>
        <w:gridCol w:w="1764"/>
        <w:gridCol w:w="2365"/>
        <w:gridCol w:w="1008"/>
        <w:gridCol w:w="2294"/>
        <w:gridCol w:w="660"/>
        <w:gridCol w:w="745"/>
      </w:tblGrid>
      <w:tr w14:paraId="23C014E7">
        <w:tblPrEx>
          <w:tblCellMar>
            <w:top w:w="0" w:type="dxa"/>
            <w:left w:w="0" w:type="dxa"/>
            <w:bottom w:w="0" w:type="dxa"/>
            <w:right w:w="0" w:type="dxa"/>
          </w:tblCellMar>
        </w:tblPrEx>
        <w:trPr>
          <w:trHeight w:val="455" w:hRule="exact"/>
          <w:jc w:val="center"/>
        </w:trPr>
        <w:tc>
          <w:tcPr>
            <w:tcW w:w="1764" w:type="dxa"/>
            <w:vMerge w:val="restart"/>
            <w:tcBorders>
              <w:top w:val="single" w:color="000000" w:sz="4" w:space="0"/>
              <w:left w:val="single" w:color="000000" w:sz="4" w:space="0"/>
              <w:right w:val="single" w:color="000000" w:sz="4" w:space="0"/>
            </w:tcBorders>
            <w:vAlign w:val="center"/>
          </w:tcPr>
          <w:p w14:paraId="52025F12">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用地名称</w:t>
            </w:r>
          </w:p>
        </w:tc>
        <w:tc>
          <w:tcPr>
            <w:tcW w:w="2365" w:type="dxa"/>
            <w:tcBorders>
              <w:top w:val="single" w:color="000000" w:sz="4" w:space="0"/>
              <w:left w:val="single" w:color="000000" w:sz="4" w:space="0"/>
              <w:bottom w:val="single" w:color="000000" w:sz="4" w:space="0"/>
              <w:right w:val="single" w:color="000000" w:sz="4" w:space="0"/>
            </w:tcBorders>
            <w:vAlign w:val="center"/>
          </w:tcPr>
          <w:p w14:paraId="4710E4AD">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地类</w:t>
            </w:r>
          </w:p>
        </w:tc>
        <w:tc>
          <w:tcPr>
            <w:tcW w:w="1008" w:type="dxa"/>
            <w:tcBorders>
              <w:top w:val="single" w:color="000000" w:sz="4" w:space="0"/>
              <w:left w:val="single" w:color="000000" w:sz="4" w:space="0"/>
              <w:bottom w:val="single" w:color="000000" w:sz="4" w:space="0"/>
              <w:right w:val="single" w:color="000000" w:sz="4" w:space="0"/>
            </w:tcBorders>
            <w:vAlign w:val="center"/>
          </w:tcPr>
          <w:p w14:paraId="289AD584">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面积</w:t>
            </w:r>
          </w:p>
        </w:tc>
        <w:tc>
          <w:tcPr>
            <w:tcW w:w="2294" w:type="dxa"/>
            <w:vMerge w:val="restart"/>
            <w:tcBorders>
              <w:top w:val="single" w:color="000000" w:sz="4" w:space="0"/>
              <w:left w:val="single" w:color="000000" w:sz="4" w:space="0"/>
              <w:right w:val="single" w:color="000000" w:sz="4" w:space="0"/>
            </w:tcBorders>
            <w:vAlign w:val="center"/>
          </w:tcPr>
          <w:p w14:paraId="789544C1">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p>
          <w:p w14:paraId="4FD1D0E8">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损毁时间</w:t>
            </w:r>
          </w:p>
        </w:tc>
        <w:tc>
          <w:tcPr>
            <w:tcW w:w="660" w:type="dxa"/>
            <w:vMerge w:val="restart"/>
            <w:tcBorders>
              <w:top w:val="single" w:color="000000" w:sz="4" w:space="0"/>
              <w:left w:val="single" w:color="000000" w:sz="4" w:space="0"/>
              <w:right w:val="single" w:color="000000" w:sz="4" w:space="0"/>
            </w:tcBorders>
            <w:vAlign w:val="center"/>
          </w:tcPr>
          <w:p w14:paraId="747EFD0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firstLine="0"/>
              <w:jc w:val="center"/>
              <w:textAlignment w:val="auto"/>
              <w:rPr>
                <w:rFonts w:hint="eastAsia" w:ascii="仿宋" w:hAnsi="仿宋" w:eastAsia="仿宋" w:cs="仿宋"/>
                <w:b/>
                <w:bCs/>
                <w:color w:val="auto"/>
                <w:sz w:val="21"/>
                <w:szCs w:val="21"/>
              </w:rPr>
            </w:pPr>
            <w:r>
              <w:rPr>
                <w:rFonts w:hint="eastAsia" w:ascii="仿宋" w:hAnsi="仿宋" w:eastAsia="仿宋" w:cs="仿宋"/>
                <w:b/>
                <w:bCs/>
                <w:color w:val="auto"/>
                <w:sz w:val="21"/>
                <w:szCs w:val="21"/>
              </w:rPr>
              <w:t>损毁</w:t>
            </w:r>
          </w:p>
          <w:p w14:paraId="0420661D">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firstLine="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类型</w:t>
            </w:r>
          </w:p>
        </w:tc>
        <w:tc>
          <w:tcPr>
            <w:tcW w:w="745" w:type="dxa"/>
            <w:vMerge w:val="restart"/>
            <w:tcBorders>
              <w:top w:val="single" w:color="000000" w:sz="4" w:space="0"/>
              <w:left w:val="single" w:color="000000" w:sz="4" w:space="0"/>
              <w:right w:val="single" w:color="000000" w:sz="4" w:space="0"/>
            </w:tcBorders>
            <w:vAlign w:val="center"/>
          </w:tcPr>
          <w:p w14:paraId="1475CC79">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是否纳入复垦</w:t>
            </w:r>
          </w:p>
        </w:tc>
      </w:tr>
      <w:tr w14:paraId="7E2EE161">
        <w:tblPrEx>
          <w:tblCellMar>
            <w:top w:w="0" w:type="dxa"/>
            <w:left w:w="0" w:type="dxa"/>
            <w:bottom w:w="0" w:type="dxa"/>
            <w:right w:w="0" w:type="dxa"/>
          </w:tblCellMar>
        </w:tblPrEx>
        <w:trPr>
          <w:trHeight w:val="880" w:hRule="exact"/>
          <w:jc w:val="center"/>
        </w:trPr>
        <w:tc>
          <w:tcPr>
            <w:tcW w:w="1764" w:type="dxa"/>
            <w:vMerge w:val="continue"/>
            <w:tcBorders>
              <w:left w:val="single" w:color="000000" w:sz="4" w:space="0"/>
              <w:bottom w:val="single" w:color="000000" w:sz="4" w:space="0"/>
              <w:right w:val="single" w:color="000000" w:sz="4" w:space="0"/>
            </w:tcBorders>
            <w:vAlign w:val="center"/>
          </w:tcPr>
          <w:p w14:paraId="6DDE10FD">
            <w:pPr>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p>
        </w:tc>
        <w:tc>
          <w:tcPr>
            <w:tcW w:w="2365" w:type="dxa"/>
            <w:tcBorders>
              <w:top w:val="single" w:color="000000" w:sz="4" w:space="0"/>
              <w:left w:val="single" w:color="000000" w:sz="4" w:space="0"/>
              <w:bottom w:val="single" w:color="000000" w:sz="4" w:space="0"/>
              <w:right w:val="single" w:color="000000" w:sz="4" w:space="0"/>
            </w:tcBorders>
            <w:vAlign w:val="center"/>
          </w:tcPr>
          <w:p w14:paraId="7C39E2F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河流水面</w:t>
            </w:r>
          </w:p>
        </w:tc>
        <w:tc>
          <w:tcPr>
            <w:tcW w:w="1008" w:type="dxa"/>
            <w:tcBorders>
              <w:top w:val="single" w:color="000000" w:sz="4" w:space="0"/>
              <w:left w:val="single" w:color="000000" w:sz="4" w:space="0"/>
              <w:bottom w:val="single" w:color="000000" w:sz="4" w:space="0"/>
              <w:right w:val="single" w:color="000000" w:sz="4" w:space="0"/>
            </w:tcBorders>
            <w:vAlign w:val="center"/>
          </w:tcPr>
          <w:p w14:paraId="53CC8EE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b/>
                <w:bCs/>
                <w:color w:val="auto"/>
                <w:sz w:val="21"/>
                <w:szCs w:val="21"/>
              </w:rPr>
              <w:t>公顷</w:t>
            </w:r>
          </w:p>
        </w:tc>
        <w:tc>
          <w:tcPr>
            <w:tcW w:w="2294" w:type="dxa"/>
            <w:vMerge w:val="continue"/>
            <w:tcBorders>
              <w:left w:val="single" w:color="000000" w:sz="4" w:space="0"/>
              <w:bottom w:val="single" w:color="000000" w:sz="4" w:space="0"/>
              <w:right w:val="single" w:color="000000" w:sz="4" w:space="0"/>
            </w:tcBorders>
            <w:vAlign w:val="center"/>
          </w:tcPr>
          <w:p w14:paraId="4B8169BA">
            <w:pPr>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p>
        </w:tc>
        <w:tc>
          <w:tcPr>
            <w:tcW w:w="660" w:type="dxa"/>
            <w:vMerge w:val="continue"/>
            <w:tcBorders>
              <w:left w:val="single" w:color="000000" w:sz="4" w:space="0"/>
              <w:bottom w:val="single" w:color="000000" w:sz="4" w:space="0"/>
              <w:right w:val="single" w:color="000000" w:sz="4" w:space="0"/>
            </w:tcBorders>
            <w:vAlign w:val="center"/>
          </w:tcPr>
          <w:p w14:paraId="33DFC6A9">
            <w:pPr>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p>
        </w:tc>
        <w:tc>
          <w:tcPr>
            <w:tcW w:w="745" w:type="dxa"/>
            <w:vMerge w:val="continue"/>
            <w:tcBorders>
              <w:left w:val="single" w:color="000000" w:sz="4" w:space="0"/>
              <w:bottom w:val="single" w:color="000000" w:sz="4" w:space="0"/>
              <w:right w:val="single" w:color="000000" w:sz="4" w:space="0"/>
            </w:tcBorders>
            <w:vAlign w:val="center"/>
          </w:tcPr>
          <w:p w14:paraId="3BD706BD">
            <w:pPr>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p>
        </w:tc>
      </w:tr>
      <w:tr w14:paraId="63A0A995">
        <w:tblPrEx>
          <w:tblCellMar>
            <w:top w:w="0" w:type="dxa"/>
            <w:left w:w="0" w:type="dxa"/>
            <w:bottom w:w="0" w:type="dxa"/>
            <w:right w:w="0" w:type="dxa"/>
          </w:tblCellMar>
        </w:tblPrEx>
        <w:trPr>
          <w:trHeight w:val="455" w:hRule="exact"/>
          <w:jc w:val="center"/>
        </w:trPr>
        <w:tc>
          <w:tcPr>
            <w:tcW w:w="1764" w:type="dxa"/>
            <w:tcBorders>
              <w:top w:val="single" w:color="000000" w:sz="4" w:space="0"/>
              <w:left w:val="single" w:color="000000" w:sz="4" w:space="0"/>
              <w:bottom w:val="single" w:color="000000" w:sz="4" w:space="0"/>
              <w:right w:val="single" w:color="000000" w:sz="4" w:space="0"/>
            </w:tcBorders>
            <w:vAlign w:val="center"/>
          </w:tcPr>
          <w:p w14:paraId="5034C0D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position w:val="1"/>
                <w:sz w:val="21"/>
                <w:szCs w:val="21"/>
                <w:lang w:val="en-US" w:eastAsia="zh-CN"/>
              </w:rPr>
              <w:t>表土剥离堆放区</w:t>
            </w:r>
          </w:p>
        </w:tc>
        <w:tc>
          <w:tcPr>
            <w:tcW w:w="2365" w:type="dxa"/>
            <w:tcBorders>
              <w:top w:val="single" w:color="000000" w:sz="4" w:space="0"/>
              <w:left w:val="single" w:color="000000" w:sz="4" w:space="0"/>
              <w:bottom w:val="single" w:color="000000" w:sz="4" w:space="0"/>
              <w:right w:val="single" w:color="000000" w:sz="4" w:space="0"/>
            </w:tcBorders>
            <w:vAlign w:val="center"/>
          </w:tcPr>
          <w:p w14:paraId="2616D436">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2.6259</w:t>
            </w:r>
          </w:p>
        </w:tc>
        <w:tc>
          <w:tcPr>
            <w:tcW w:w="1008" w:type="dxa"/>
            <w:tcBorders>
              <w:top w:val="single" w:color="000000" w:sz="4" w:space="0"/>
              <w:left w:val="single" w:color="000000" w:sz="4" w:space="0"/>
              <w:bottom w:val="single" w:color="000000" w:sz="4" w:space="0"/>
              <w:right w:val="single" w:color="000000" w:sz="4" w:space="0"/>
            </w:tcBorders>
            <w:vAlign w:val="center"/>
          </w:tcPr>
          <w:p w14:paraId="06E1502D">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2.6259</w:t>
            </w:r>
          </w:p>
        </w:tc>
        <w:tc>
          <w:tcPr>
            <w:tcW w:w="2294" w:type="dxa"/>
            <w:tcBorders>
              <w:top w:val="single" w:color="000000" w:sz="4" w:space="0"/>
              <w:left w:val="single" w:color="000000" w:sz="4" w:space="0"/>
              <w:bottom w:val="single" w:color="000000" w:sz="4" w:space="0"/>
              <w:right w:val="single" w:color="000000" w:sz="4" w:space="0"/>
            </w:tcBorders>
            <w:vAlign w:val="center"/>
          </w:tcPr>
          <w:p w14:paraId="2BC13C68">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2026</w:t>
            </w:r>
            <w:r>
              <w:rPr>
                <w:rFonts w:hint="eastAsia" w:ascii="仿宋" w:hAnsi="仿宋" w:eastAsia="仿宋" w:cs="仿宋"/>
                <w:color w:val="auto"/>
                <w:position w:val="1"/>
                <w:sz w:val="21"/>
                <w:szCs w:val="21"/>
              </w:rPr>
              <w:t>年</w:t>
            </w:r>
            <w:r>
              <w:rPr>
                <w:rFonts w:hint="eastAsia" w:ascii="仿宋" w:hAnsi="仿宋" w:eastAsia="仿宋" w:cs="仿宋"/>
                <w:color w:val="auto"/>
                <w:sz w:val="21"/>
                <w:szCs w:val="21"/>
                <w:lang w:val="en-US" w:eastAsia="zh-CN"/>
              </w:rPr>
              <w:t>10</w:t>
            </w:r>
            <w:r>
              <w:rPr>
                <w:rFonts w:hint="eastAsia" w:ascii="仿宋" w:hAnsi="仿宋" w:eastAsia="仿宋" w:cs="仿宋"/>
                <w:color w:val="auto"/>
                <w:position w:val="1"/>
                <w:sz w:val="21"/>
                <w:szCs w:val="21"/>
              </w:rPr>
              <w:t>月</w:t>
            </w:r>
            <w:r>
              <w:rPr>
                <w:rFonts w:hint="eastAsia" w:ascii="仿宋" w:hAnsi="仿宋" w:eastAsia="仿宋" w:cs="仿宋"/>
                <w:color w:val="auto"/>
                <w:position w:val="1"/>
                <w:sz w:val="21"/>
                <w:szCs w:val="21"/>
                <w:lang w:eastAsia="zh-CN"/>
              </w:rPr>
              <w:t>—</w:t>
            </w:r>
            <w:r>
              <w:rPr>
                <w:rFonts w:hint="eastAsia" w:ascii="仿宋" w:hAnsi="仿宋" w:eastAsia="仿宋" w:cs="仿宋"/>
                <w:color w:val="auto"/>
                <w:sz w:val="21"/>
                <w:szCs w:val="21"/>
              </w:rPr>
              <w:t>2030</w:t>
            </w:r>
            <w:r>
              <w:rPr>
                <w:rFonts w:hint="eastAsia" w:ascii="仿宋" w:hAnsi="仿宋" w:eastAsia="仿宋" w:cs="仿宋"/>
                <w:color w:val="auto"/>
                <w:position w:val="1"/>
                <w:sz w:val="21"/>
                <w:szCs w:val="21"/>
              </w:rPr>
              <w:t>年</w:t>
            </w:r>
            <w:r>
              <w:rPr>
                <w:rFonts w:hint="eastAsia" w:ascii="仿宋" w:hAnsi="仿宋" w:eastAsia="仿宋" w:cs="仿宋"/>
                <w:color w:val="auto"/>
                <w:sz w:val="21"/>
                <w:szCs w:val="21"/>
                <w:lang w:val="en-US" w:eastAsia="zh-CN"/>
              </w:rPr>
              <w:t>9</w:t>
            </w:r>
            <w:r>
              <w:rPr>
                <w:rFonts w:hint="eastAsia" w:ascii="仿宋" w:hAnsi="仿宋" w:eastAsia="仿宋" w:cs="仿宋"/>
                <w:color w:val="auto"/>
                <w:position w:val="1"/>
                <w:sz w:val="21"/>
                <w:szCs w:val="21"/>
              </w:rPr>
              <w:t>月</w:t>
            </w:r>
          </w:p>
        </w:tc>
        <w:tc>
          <w:tcPr>
            <w:tcW w:w="660" w:type="dxa"/>
            <w:tcBorders>
              <w:top w:val="single" w:color="000000" w:sz="4" w:space="0"/>
              <w:left w:val="single" w:color="000000" w:sz="4" w:space="0"/>
              <w:bottom w:val="single" w:color="000000" w:sz="4" w:space="0"/>
              <w:right w:val="single" w:color="000000" w:sz="4" w:space="0"/>
            </w:tcBorders>
            <w:vAlign w:val="center"/>
          </w:tcPr>
          <w:p w14:paraId="0ED0EAC4">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压占</w:t>
            </w:r>
          </w:p>
        </w:tc>
        <w:tc>
          <w:tcPr>
            <w:tcW w:w="745" w:type="dxa"/>
            <w:tcBorders>
              <w:top w:val="single" w:color="000000" w:sz="4" w:space="0"/>
              <w:left w:val="single" w:color="000000" w:sz="4" w:space="0"/>
              <w:bottom w:val="single" w:color="000000" w:sz="4" w:space="0"/>
              <w:right w:val="single" w:color="000000" w:sz="4" w:space="0"/>
            </w:tcBorders>
            <w:vAlign w:val="center"/>
          </w:tcPr>
          <w:p w14:paraId="55E049B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纳入</w:t>
            </w:r>
          </w:p>
        </w:tc>
      </w:tr>
      <w:tr w14:paraId="087A8DEA">
        <w:tblPrEx>
          <w:tblCellMar>
            <w:top w:w="0" w:type="dxa"/>
            <w:left w:w="0" w:type="dxa"/>
            <w:bottom w:w="0" w:type="dxa"/>
            <w:right w:w="0" w:type="dxa"/>
          </w:tblCellMar>
        </w:tblPrEx>
        <w:trPr>
          <w:trHeight w:val="490" w:hRule="exact"/>
          <w:jc w:val="center"/>
        </w:trPr>
        <w:tc>
          <w:tcPr>
            <w:tcW w:w="1764" w:type="dxa"/>
            <w:tcBorders>
              <w:top w:val="single" w:color="000000" w:sz="4" w:space="0"/>
              <w:left w:val="single" w:color="000000" w:sz="4" w:space="0"/>
              <w:bottom w:val="single" w:color="000000" w:sz="4" w:space="0"/>
              <w:right w:val="single" w:color="000000" w:sz="4" w:space="0"/>
            </w:tcBorders>
            <w:vAlign w:val="center"/>
          </w:tcPr>
          <w:p w14:paraId="68AC1B8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lang w:eastAsia="zh-CN"/>
              </w:rPr>
            </w:pPr>
            <w:r>
              <w:rPr>
                <w:rFonts w:hint="eastAsia" w:ascii="仿宋" w:hAnsi="仿宋" w:eastAsia="仿宋" w:cs="仿宋"/>
                <w:color w:val="auto"/>
                <w:sz w:val="21"/>
                <w:szCs w:val="21"/>
                <w:lang w:val="en-US" w:eastAsia="zh-CN"/>
              </w:rPr>
              <w:t>总计</w:t>
            </w:r>
          </w:p>
        </w:tc>
        <w:tc>
          <w:tcPr>
            <w:tcW w:w="2365" w:type="dxa"/>
            <w:tcBorders>
              <w:top w:val="single" w:color="000000" w:sz="4" w:space="0"/>
              <w:left w:val="single" w:color="000000" w:sz="4" w:space="0"/>
              <w:bottom w:val="single" w:color="000000" w:sz="4" w:space="0"/>
              <w:right w:val="single" w:color="000000" w:sz="4" w:space="0"/>
            </w:tcBorders>
            <w:vAlign w:val="center"/>
          </w:tcPr>
          <w:p w14:paraId="393A43C7">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2.6259</w:t>
            </w:r>
          </w:p>
        </w:tc>
        <w:tc>
          <w:tcPr>
            <w:tcW w:w="1008" w:type="dxa"/>
            <w:tcBorders>
              <w:top w:val="single" w:color="000000" w:sz="4" w:space="0"/>
              <w:left w:val="single" w:color="000000" w:sz="4" w:space="0"/>
              <w:bottom w:val="single" w:color="000000" w:sz="4" w:space="0"/>
              <w:right w:val="single" w:color="000000" w:sz="4" w:space="0"/>
            </w:tcBorders>
            <w:vAlign w:val="center"/>
          </w:tcPr>
          <w:p w14:paraId="54F81D78">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default" w:ascii="仿宋" w:hAnsi="仿宋" w:eastAsia="仿宋" w:cs="仿宋"/>
                <w:color w:val="auto"/>
                <w:sz w:val="21"/>
                <w:szCs w:val="21"/>
                <w:lang w:val="en-US" w:eastAsia="zh-CN"/>
              </w:rPr>
            </w:pPr>
            <w:r>
              <w:rPr>
                <w:rFonts w:hint="eastAsia" w:ascii="仿宋" w:hAnsi="仿宋" w:eastAsia="仿宋" w:cs="仿宋"/>
                <w:color w:val="auto"/>
                <w:sz w:val="21"/>
                <w:szCs w:val="21"/>
                <w:lang w:val="en-US" w:eastAsia="zh-CN"/>
              </w:rPr>
              <w:t>2.6259</w:t>
            </w:r>
          </w:p>
        </w:tc>
        <w:tc>
          <w:tcPr>
            <w:tcW w:w="2294" w:type="dxa"/>
            <w:tcBorders>
              <w:top w:val="single" w:color="000000" w:sz="4" w:space="0"/>
              <w:left w:val="single" w:color="000000" w:sz="4" w:space="0"/>
              <w:bottom w:val="single" w:color="000000" w:sz="4" w:space="0"/>
              <w:right w:val="single" w:color="000000" w:sz="4" w:space="0"/>
            </w:tcBorders>
            <w:vAlign w:val="center"/>
          </w:tcPr>
          <w:p w14:paraId="5C334CC2">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2026</w:t>
            </w:r>
            <w:r>
              <w:rPr>
                <w:rFonts w:hint="eastAsia" w:ascii="仿宋" w:hAnsi="仿宋" w:eastAsia="仿宋" w:cs="仿宋"/>
                <w:color w:val="auto"/>
                <w:position w:val="1"/>
                <w:sz w:val="21"/>
                <w:szCs w:val="21"/>
              </w:rPr>
              <w:t>年</w:t>
            </w:r>
            <w:r>
              <w:rPr>
                <w:rFonts w:hint="eastAsia" w:ascii="仿宋" w:hAnsi="仿宋" w:eastAsia="仿宋" w:cs="仿宋"/>
                <w:color w:val="auto"/>
                <w:sz w:val="21"/>
                <w:szCs w:val="21"/>
                <w:lang w:val="en-US" w:eastAsia="zh-CN"/>
              </w:rPr>
              <w:t>7</w:t>
            </w:r>
            <w:r>
              <w:rPr>
                <w:rFonts w:hint="eastAsia" w:ascii="仿宋" w:hAnsi="仿宋" w:eastAsia="仿宋" w:cs="仿宋"/>
                <w:color w:val="auto"/>
                <w:position w:val="1"/>
                <w:sz w:val="21"/>
                <w:szCs w:val="21"/>
              </w:rPr>
              <w:t>月</w:t>
            </w:r>
            <w:r>
              <w:rPr>
                <w:rFonts w:hint="eastAsia" w:ascii="仿宋" w:hAnsi="仿宋" w:eastAsia="仿宋" w:cs="仿宋"/>
                <w:color w:val="auto"/>
                <w:position w:val="1"/>
                <w:sz w:val="21"/>
                <w:szCs w:val="21"/>
                <w:lang w:eastAsia="zh-CN"/>
              </w:rPr>
              <w:t>—</w:t>
            </w:r>
            <w:r>
              <w:rPr>
                <w:rFonts w:hint="eastAsia" w:ascii="仿宋" w:hAnsi="仿宋" w:eastAsia="仿宋" w:cs="仿宋"/>
                <w:color w:val="auto"/>
                <w:sz w:val="21"/>
                <w:szCs w:val="21"/>
              </w:rPr>
              <w:t>203</w:t>
            </w:r>
            <w:r>
              <w:rPr>
                <w:rFonts w:hint="eastAsia" w:ascii="仿宋" w:hAnsi="仿宋" w:eastAsia="仿宋" w:cs="仿宋"/>
                <w:color w:val="auto"/>
                <w:sz w:val="21"/>
                <w:szCs w:val="21"/>
                <w:lang w:val="en-US" w:eastAsia="zh-CN"/>
              </w:rPr>
              <w:t>1</w:t>
            </w:r>
            <w:r>
              <w:rPr>
                <w:rFonts w:hint="eastAsia" w:ascii="仿宋" w:hAnsi="仿宋" w:eastAsia="仿宋" w:cs="仿宋"/>
                <w:color w:val="auto"/>
                <w:position w:val="1"/>
                <w:sz w:val="21"/>
                <w:szCs w:val="21"/>
              </w:rPr>
              <w:t>年</w:t>
            </w:r>
            <w:r>
              <w:rPr>
                <w:rFonts w:hint="eastAsia" w:ascii="仿宋" w:hAnsi="仿宋" w:eastAsia="仿宋" w:cs="仿宋"/>
                <w:color w:val="auto"/>
                <w:sz w:val="21"/>
                <w:szCs w:val="21"/>
                <w:lang w:val="en-US" w:eastAsia="zh-CN"/>
              </w:rPr>
              <w:t>6</w:t>
            </w:r>
            <w:r>
              <w:rPr>
                <w:rFonts w:hint="eastAsia" w:ascii="仿宋" w:hAnsi="仿宋" w:eastAsia="仿宋" w:cs="仿宋"/>
                <w:color w:val="auto"/>
                <w:position w:val="1"/>
                <w:sz w:val="21"/>
                <w:szCs w:val="21"/>
              </w:rPr>
              <w:t>月</w:t>
            </w:r>
          </w:p>
        </w:tc>
        <w:tc>
          <w:tcPr>
            <w:tcW w:w="660" w:type="dxa"/>
            <w:tcBorders>
              <w:top w:val="single" w:color="000000" w:sz="4" w:space="0"/>
              <w:left w:val="single" w:color="000000" w:sz="4" w:space="0"/>
              <w:bottom w:val="single" w:color="000000" w:sz="4" w:space="0"/>
              <w:right w:val="single" w:color="000000" w:sz="4" w:space="0"/>
            </w:tcBorders>
            <w:vAlign w:val="center"/>
          </w:tcPr>
          <w:p w14:paraId="797D2904">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压占</w:t>
            </w:r>
          </w:p>
        </w:tc>
        <w:tc>
          <w:tcPr>
            <w:tcW w:w="745" w:type="dxa"/>
            <w:tcBorders>
              <w:top w:val="single" w:color="000000" w:sz="4" w:space="0"/>
              <w:left w:val="single" w:color="000000" w:sz="4" w:space="0"/>
              <w:bottom w:val="single" w:color="000000" w:sz="4" w:space="0"/>
              <w:right w:val="single" w:color="000000" w:sz="4" w:space="0"/>
            </w:tcBorders>
            <w:vAlign w:val="center"/>
          </w:tcPr>
          <w:p w14:paraId="72C90BE9">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21"/>
                <w:szCs w:val="21"/>
              </w:rPr>
            </w:pPr>
            <w:r>
              <w:rPr>
                <w:rFonts w:hint="eastAsia" w:ascii="仿宋" w:hAnsi="仿宋" w:eastAsia="仿宋" w:cs="仿宋"/>
                <w:color w:val="auto"/>
                <w:sz w:val="21"/>
                <w:szCs w:val="21"/>
              </w:rPr>
              <w:t>纳入</w:t>
            </w:r>
          </w:p>
        </w:tc>
      </w:tr>
    </w:tbl>
    <w:p w14:paraId="78D800A8">
      <w:pPr>
        <w:keepNext w:val="0"/>
        <w:keepLines w:val="0"/>
        <w:pageBreakBefore w:val="0"/>
        <w:wordWrap/>
        <w:overflowPunct/>
        <w:topLinePunct w:val="0"/>
        <w:autoSpaceDE w:val="0"/>
        <w:autoSpaceDN w:val="0"/>
        <w:bidi w:val="0"/>
        <w:snapToGrid w:val="0"/>
        <w:spacing w:line="520" w:lineRule="exact"/>
        <w:ind w:firstLine="640" w:firstLineChars="200"/>
        <w:outlineLvl w:val="2"/>
        <w:rPr>
          <w:rFonts w:hint="default" w:ascii="方正楷体_GBK" w:hAnsi="方正楷体_GBK" w:eastAsia="方正楷体_GBK" w:cs="方正楷体_GBK"/>
          <w:sz w:val="32"/>
          <w:szCs w:val="32"/>
          <w:lang w:eastAsia="zh-CN"/>
        </w:rPr>
      </w:pPr>
      <w:r>
        <w:rPr>
          <w:rFonts w:hint="default" w:ascii="方正楷体_GBK" w:hAnsi="方正楷体_GBK" w:eastAsia="方正楷体_GBK" w:cs="方正楷体_GBK"/>
          <w:sz w:val="32"/>
          <w:szCs w:val="32"/>
          <w:lang w:eastAsia="zh-CN"/>
        </w:rPr>
        <w:t>1.2.3土地</w:t>
      </w:r>
      <w:r>
        <w:rPr>
          <w:rFonts w:hint="eastAsia" w:ascii="方正楷体_GBK" w:hAnsi="方正楷体_GBK" w:eastAsia="方正楷体_GBK" w:cs="方正楷体_GBK"/>
          <w:sz w:val="32"/>
          <w:szCs w:val="32"/>
          <w:lang w:val="en-US" w:eastAsia="zh-CN"/>
        </w:rPr>
        <w:t>使用</w:t>
      </w:r>
      <w:r>
        <w:rPr>
          <w:rFonts w:hint="default" w:ascii="方正楷体_GBK" w:hAnsi="方正楷体_GBK" w:eastAsia="方正楷体_GBK" w:cs="方正楷体_GBK"/>
          <w:sz w:val="32"/>
          <w:szCs w:val="32"/>
          <w:lang w:eastAsia="zh-CN"/>
        </w:rPr>
        <w:t>情况</w:t>
      </w:r>
    </w:p>
    <w:p w14:paraId="0B4F11CE">
      <w:pPr>
        <w:pStyle w:val="5"/>
        <w:keepNext w:val="0"/>
        <w:keepLines w:val="0"/>
        <w:pageBreakBefore w:val="0"/>
        <w:widowControl w:val="0"/>
        <w:kinsoku/>
        <w:wordWrap/>
        <w:overflowPunct/>
        <w:topLinePunct w:val="0"/>
        <w:autoSpaceDE/>
        <w:autoSpaceDN/>
        <w:bidi w:val="0"/>
        <w:adjustRightInd/>
        <w:snapToGrid/>
        <w:spacing w:after="0" w:line="520" w:lineRule="exact"/>
        <w:ind w:left="119" w:right="88" w:rightChars="42" w:firstLine="640" w:firstLineChars="200"/>
        <w:jc w:val="both"/>
        <w:textAlignment w:val="auto"/>
        <w:rPr>
          <w:rFonts w:hint="eastAsia" w:ascii="Times New Roman" w:hAnsi="Times New Roman" w:eastAsia="方正仿宋_GBK" w:cs="Times New Roman"/>
          <w:snapToGrid w:val="0"/>
          <w:color w:val="000000"/>
          <w:kern w:val="0"/>
          <w:sz w:val="32"/>
          <w:szCs w:val="32"/>
          <w:lang w:val="en-US" w:eastAsia="zh-CN" w:bidi="ar-SA"/>
        </w:rPr>
      </w:pPr>
      <w:r>
        <w:rPr>
          <w:rFonts w:hint="default" w:ascii="Times New Roman" w:hAnsi="Times New Roman" w:eastAsia="方正仿宋_GBK" w:cs="Times New Roman"/>
          <w:snapToGrid w:val="0"/>
          <w:color w:val="000000"/>
          <w:kern w:val="0"/>
          <w:sz w:val="32"/>
          <w:szCs w:val="32"/>
          <w:lang w:val="en-US" w:eastAsia="zh-CN" w:bidi="ar-SA"/>
        </w:rPr>
        <w:t>根据项目施工进度安排和相关设计说明，结合实地调查踏勘和现状土地情况统计，对该项目用地需求情况进行分析，目前主体工程未开工建设，（没有已损毁土地情况，全部为拟损毁），拟损毁临时用地面积</w:t>
      </w:r>
      <w:r>
        <w:rPr>
          <w:rFonts w:hint="eastAsia" w:ascii="Times New Roman" w:hAnsi="Times New Roman" w:eastAsia="方正仿宋_GBK" w:cs="Times New Roman"/>
          <w:snapToGrid w:val="0"/>
          <w:color w:val="000000"/>
          <w:kern w:val="0"/>
          <w:sz w:val="32"/>
          <w:szCs w:val="32"/>
          <w:lang w:val="en-US" w:eastAsia="zh-CN" w:bidi="ar-SA"/>
        </w:rPr>
        <w:t>2.6259</w:t>
      </w:r>
      <w:r>
        <w:rPr>
          <w:rFonts w:hint="default" w:ascii="Times New Roman" w:hAnsi="Times New Roman" w:eastAsia="方正仿宋_GBK" w:cs="Times New Roman"/>
          <w:snapToGrid w:val="0"/>
          <w:color w:val="000000"/>
          <w:kern w:val="0"/>
          <w:sz w:val="32"/>
          <w:szCs w:val="32"/>
          <w:lang w:val="en-US" w:eastAsia="zh-CN" w:bidi="ar-SA"/>
        </w:rPr>
        <w:t>公顷，</w:t>
      </w:r>
      <w:r>
        <w:rPr>
          <w:rFonts w:hint="eastAsia" w:ascii="Times New Roman" w:hAnsi="Times New Roman" w:eastAsia="方正仿宋_GBK" w:cs="Times New Roman"/>
          <w:snapToGrid w:val="0"/>
          <w:color w:val="000000"/>
          <w:kern w:val="0"/>
          <w:sz w:val="32"/>
          <w:szCs w:val="32"/>
          <w:lang w:val="en-US" w:eastAsia="zh-CN" w:bidi="ar-SA"/>
        </w:rPr>
        <w:t>其中河流水面2.6259公顷，</w:t>
      </w:r>
      <w:r>
        <w:rPr>
          <w:rFonts w:hint="default" w:ascii="Times New Roman" w:hAnsi="Times New Roman" w:eastAsia="方正仿宋_GBK" w:cs="Times New Roman"/>
          <w:snapToGrid w:val="0"/>
          <w:color w:val="000000"/>
          <w:kern w:val="0"/>
          <w:sz w:val="32"/>
          <w:szCs w:val="32"/>
          <w:lang w:val="en-US" w:eastAsia="zh-CN" w:bidi="ar-SA"/>
        </w:rPr>
        <w:t>具体结果见表1-2。</w:t>
      </w:r>
    </w:p>
    <w:p w14:paraId="709AFC5F">
      <w:pPr>
        <w:pStyle w:val="5"/>
        <w:keepNext w:val="0"/>
        <w:keepLines w:val="0"/>
        <w:pageBreakBefore w:val="0"/>
        <w:widowControl w:val="0"/>
        <w:kinsoku/>
        <w:wordWrap/>
        <w:overflowPunct/>
        <w:topLinePunct w:val="0"/>
        <w:autoSpaceDE/>
        <w:autoSpaceDN/>
        <w:bidi w:val="0"/>
        <w:adjustRightInd/>
        <w:snapToGrid/>
        <w:spacing w:after="0" w:line="520" w:lineRule="exact"/>
        <w:ind w:right="88" w:rightChars="42"/>
        <w:jc w:val="center"/>
        <w:textAlignment w:val="auto"/>
        <w:rPr>
          <w:rFonts w:hint="default"/>
          <w:b/>
          <w:bCs/>
          <w:color w:val="auto"/>
          <w:sz w:val="24"/>
          <w:szCs w:val="24"/>
        </w:rPr>
      </w:pPr>
      <w:r>
        <w:rPr>
          <w:rFonts w:hint="default"/>
          <w:b/>
          <w:bCs/>
          <w:color w:val="auto"/>
          <w:sz w:val="24"/>
          <w:szCs w:val="24"/>
        </w:rPr>
        <w:t>表1-</w:t>
      </w:r>
      <w:r>
        <w:rPr>
          <w:rFonts w:hint="eastAsia"/>
          <w:b/>
          <w:bCs/>
          <w:color w:val="auto"/>
          <w:sz w:val="24"/>
          <w:szCs w:val="24"/>
          <w:lang w:val="en-US" w:eastAsia="zh-CN"/>
        </w:rPr>
        <w:t>2土地拟损毁情况表单位：公顷</w:t>
      </w:r>
    </w:p>
    <w:tbl>
      <w:tblPr>
        <w:tblStyle w:val="11"/>
        <w:tblW w:w="8776" w:type="dxa"/>
        <w:tblInd w:w="102" w:type="dxa"/>
        <w:tblLayout w:type="fixed"/>
        <w:tblCellMar>
          <w:top w:w="0" w:type="dxa"/>
          <w:left w:w="0" w:type="dxa"/>
          <w:bottom w:w="0" w:type="dxa"/>
          <w:right w:w="0" w:type="dxa"/>
        </w:tblCellMar>
      </w:tblPr>
      <w:tblGrid>
        <w:gridCol w:w="999"/>
        <w:gridCol w:w="1876"/>
        <w:gridCol w:w="1983"/>
        <w:gridCol w:w="776"/>
        <w:gridCol w:w="828"/>
        <w:gridCol w:w="695"/>
        <w:gridCol w:w="709"/>
        <w:gridCol w:w="910"/>
      </w:tblGrid>
      <w:tr w14:paraId="74BCF384">
        <w:tblPrEx>
          <w:tblCellMar>
            <w:top w:w="0" w:type="dxa"/>
            <w:left w:w="0" w:type="dxa"/>
            <w:bottom w:w="0" w:type="dxa"/>
            <w:right w:w="0" w:type="dxa"/>
          </w:tblCellMar>
        </w:tblPrEx>
        <w:trPr>
          <w:trHeight w:val="603" w:hRule="exact"/>
        </w:trPr>
        <w:tc>
          <w:tcPr>
            <w:tcW w:w="999" w:type="dxa"/>
            <w:vMerge w:val="restart"/>
            <w:tcBorders>
              <w:top w:val="single" w:color="000000" w:sz="4" w:space="0"/>
              <w:left w:val="single" w:color="000000" w:sz="4" w:space="0"/>
              <w:right w:val="single" w:color="000000" w:sz="4" w:space="0"/>
            </w:tcBorders>
            <w:vAlign w:val="center"/>
          </w:tcPr>
          <w:p w14:paraId="36504657">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名称</w:t>
            </w:r>
          </w:p>
        </w:tc>
        <w:tc>
          <w:tcPr>
            <w:tcW w:w="1876" w:type="dxa"/>
            <w:tcBorders>
              <w:top w:val="single" w:color="000000" w:sz="4" w:space="0"/>
              <w:left w:val="single" w:color="000000" w:sz="4" w:space="0"/>
              <w:bottom w:val="single" w:color="000000" w:sz="4" w:space="0"/>
              <w:right w:val="single" w:color="000000" w:sz="4" w:space="0"/>
            </w:tcBorders>
            <w:vAlign w:val="center"/>
          </w:tcPr>
          <w:p w14:paraId="4E27F36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一级地类</w:t>
            </w:r>
          </w:p>
        </w:tc>
        <w:tc>
          <w:tcPr>
            <w:tcW w:w="1983" w:type="dxa"/>
            <w:tcBorders>
              <w:top w:val="single" w:color="000000" w:sz="4" w:space="0"/>
              <w:left w:val="single" w:color="000000" w:sz="4" w:space="0"/>
              <w:bottom w:val="single" w:color="000000" w:sz="4" w:space="0"/>
              <w:right w:val="single" w:color="000000" w:sz="4" w:space="0"/>
            </w:tcBorders>
            <w:vAlign w:val="center"/>
          </w:tcPr>
          <w:p w14:paraId="74A29489">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二级地类</w:t>
            </w:r>
          </w:p>
        </w:tc>
        <w:tc>
          <w:tcPr>
            <w:tcW w:w="776" w:type="dxa"/>
            <w:vMerge w:val="restart"/>
            <w:tcBorders>
              <w:top w:val="single" w:color="000000" w:sz="4" w:space="0"/>
              <w:left w:val="single" w:color="000000" w:sz="4" w:space="0"/>
              <w:right w:val="single" w:color="000000" w:sz="4" w:space="0"/>
            </w:tcBorders>
            <w:vAlign w:val="center"/>
          </w:tcPr>
          <w:p w14:paraId="3C53A03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面积</w:t>
            </w:r>
          </w:p>
        </w:tc>
        <w:tc>
          <w:tcPr>
            <w:tcW w:w="828" w:type="dxa"/>
            <w:vMerge w:val="restart"/>
            <w:tcBorders>
              <w:top w:val="single" w:color="000000" w:sz="4" w:space="0"/>
              <w:left w:val="single" w:color="000000" w:sz="4" w:space="0"/>
              <w:right w:val="single" w:color="000000" w:sz="4" w:space="0"/>
            </w:tcBorders>
            <w:vAlign w:val="center"/>
          </w:tcPr>
          <w:p w14:paraId="25B6A23D">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损毁</w:t>
            </w:r>
          </w:p>
          <w:p w14:paraId="3AECD424">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default"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状态</w:t>
            </w:r>
          </w:p>
        </w:tc>
        <w:tc>
          <w:tcPr>
            <w:tcW w:w="695" w:type="dxa"/>
            <w:vMerge w:val="restart"/>
            <w:tcBorders>
              <w:top w:val="single" w:color="000000" w:sz="4" w:space="0"/>
              <w:left w:val="single" w:color="000000" w:sz="4" w:space="0"/>
              <w:right w:val="single" w:color="000000" w:sz="4" w:space="0"/>
            </w:tcBorders>
            <w:vAlign w:val="center"/>
          </w:tcPr>
          <w:p w14:paraId="2720C218">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损毁</w:t>
            </w:r>
          </w:p>
          <w:p w14:paraId="58BDCF85">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方式</w:t>
            </w:r>
          </w:p>
        </w:tc>
        <w:tc>
          <w:tcPr>
            <w:tcW w:w="709" w:type="dxa"/>
            <w:vMerge w:val="restart"/>
            <w:tcBorders>
              <w:top w:val="single" w:color="000000" w:sz="4" w:space="0"/>
              <w:left w:val="single" w:color="000000" w:sz="4" w:space="0"/>
              <w:right w:val="single" w:color="000000" w:sz="4" w:space="0"/>
            </w:tcBorders>
            <w:vAlign w:val="center"/>
          </w:tcPr>
          <w:p w14:paraId="7E250D79">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损毁</w:t>
            </w:r>
          </w:p>
          <w:p w14:paraId="7F1DF453">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程度</w:t>
            </w:r>
          </w:p>
        </w:tc>
        <w:tc>
          <w:tcPr>
            <w:tcW w:w="910" w:type="dxa"/>
            <w:vMerge w:val="restart"/>
            <w:tcBorders>
              <w:top w:val="single" w:color="000000" w:sz="4" w:space="0"/>
              <w:left w:val="single" w:color="000000" w:sz="4" w:space="0"/>
              <w:right w:val="single" w:color="000000" w:sz="4" w:space="0"/>
            </w:tcBorders>
            <w:vAlign w:val="center"/>
          </w:tcPr>
          <w:p w14:paraId="350138D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损毁</w:t>
            </w:r>
          </w:p>
          <w:p w14:paraId="6901D87F">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zh-CN" w:bidi="ar-SA"/>
              </w:rPr>
              <w:t>时序</w:t>
            </w:r>
          </w:p>
        </w:tc>
      </w:tr>
      <w:tr w14:paraId="0DB48470">
        <w:tblPrEx>
          <w:tblCellMar>
            <w:top w:w="0" w:type="dxa"/>
            <w:left w:w="0" w:type="dxa"/>
            <w:bottom w:w="0" w:type="dxa"/>
            <w:right w:w="0" w:type="dxa"/>
          </w:tblCellMar>
        </w:tblPrEx>
        <w:trPr>
          <w:trHeight w:val="606" w:hRule="exact"/>
        </w:trPr>
        <w:tc>
          <w:tcPr>
            <w:tcW w:w="999" w:type="dxa"/>
            <w:vMerge w:val="continue"/>
            <w:tcBorders>
              <w:left w:val="single" w:color="000000" w:sz="4" w:space="0"/>
              <w:bottom w:val="single" w:color="000000" w:sz="4" w:space="0"/>
              <w:right w:val="single" w:color="000000" w:sz="4" w:space="0"/>
            </w:tcBorders>
            <w:vAlign w:val="center"/>
          </w:tcPr>
          <w:p w14:paraId="2E879E9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1876" w:type="dxa"/>
            <w:tcBorders>
              <w:top w:val="single" w:color="000000" w:sz="4" w:space="0"/>
              <w:left w:val="single" w:color="000000" w:sz="4" w:space="0"/>
              <w:bottom w:val="single" w:color="000000" w:sz="4" w:space="0"/>
              <w:right w:val="single" w:color="000000" w:sz="4" w:space="0"/>
            </w:tcBorders>
            <w:vAlign w:val="center"/>
          </w:tcPr>
          <w:p w14:paraId="1DBCA5B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地类</w:t>
            </w:r>
          </w:p>
        </w:tc>
        <w:tc>
          <w:tcPr>
            <w:tcW w:w="1983" w:type="dxa"/>
            <w:tcBorders>
              <w:top w:val="single" w:color="000000" w:sz="4" w:space="0"/>
              <w:left w:val="single" w:color="000000" w:sz="4" w:space="0"/>
              <w:bottom w:val="single" w:color="000000" w:sz="4" w:space="0"/>
              <w:right w:val="single" w:color="000000" w:sz="4" w:space="0"/>
            </w:tcBorders>
            <w:vAlign w:val="center"/>
          </w:tcPr>
          <w:p w14:paraId="042E171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地类</w:t>
            </w:r>
          </w:p>
        </w:tc>
        <w:tc>
          <w:tcPr>
            <w:tcW w:w="776" w:type="dxa"/>
            <w:vMerge w:val="continue"/>
            <w:tcBorders>
              <w:left w:val="single" w:color="000000" w:sz="4" w:space="0"/>
              <w:bottom w:val="single" w:color="000000" w:sz="4" w:space="0"/>
              <w:right w:val="single" w:color="000000" w:sz="4" w:space="0"/>
            </w:tcBorders>
            <w:vAlign w:val="center"/>
          </w:tcPr>
          <w:p w14:paraId="4EC0EE80">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828" w:type="dxa"/>
            <w:vMerge w:val="continue"/>
            <w:tcBorders>
              <w:left w:val="single" w:color="000000" w:sz="4" w:space="0"/>
              <w:bottom w:val="single" w:color="000000" w:sz="4" w:space="0"/>
              <w:right w:val="single" w:color="000000" w:sz="4" w:space="0"/>
            </w:tcBorders>
            <w:vAlign w:val="center"/>
          </w:tcPr>
          <w:p w14:paraId="207B8D80">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695" w:type="dxa"/>
            <w:vMerge w:val="continue"/>
            <w:tcBorders>
              <w:left w:val="single" w:color="000000" w:sz="4" w:space="0"/>
              <w:bottom w:val="single" w:color="000000" w:sz="4" w:space="0"/>
              <w:right w:val="single" w:color="000000" w:sz="4" w:space="0"/>
            </w:tcBorders>
            <w:vAlign w:val="center"/>
          </w:tcPr>
          <w:p w14:paraId="6F17EA0C">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709" w:type="dxa"/>
            <w:vMerge w:val="continue"/>
            <w:tcBorders>
              <w:left w:val="single" w:color="000000" w:sz="4" w:space="0"/>
              <w:bottom w:val="single" w:color="000000" w:sz="4" w:space="0"/>
              <w:right w:val="single" w:color="000000" w:sz="4" w:space="0"/>
            </w:tcBorders>
            <w:vAlign w:val="center"/>
          </w:tcPr>
          <w:p w14:paraId="1EDA213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910" w:type="dxa"/>
            <w:vMerge w:val="continue"/>
            <w:tcBorders>
              <w:left w:val="single" w:color="000000" w:sz="4" w:space="0"/>
              <w:bottom w:val="single" w:color="000000" w:sz="4" w:space="0"/>
              <w:right w:val="single" w:color="000000" w:sz="4" w:space="0"/>
            </w:tcBorders>
            <w:vAlign w:val="center"/>
          </w:tcPr>
          <w:p w14:paraId="60A6BA1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r>
      <w:tr w14:paraId="34AD5B14">
        <w:tblPrEx>
          <w:tblCellMar>
            <w:top w:w="0" w:type="dxa"/>
            <w:left w:w="0" w:type="dxa"/>
            <w:bottom w:w="0" w:type="dxa"/>
            <w:right w:w="0" w:type="dxa"/>
          </w:tblCellMar>
        </w:tblPrEx>
        <w:trPr>
          <w:trHeight w:val="861" w:hRule="exact"/>
        </w:trPr>
        <w:tc>
          <w:tcPr>
            <w:tcW w:w="999" w:type="dxa"/>
            <w:tcBorders>
              <w:top w:val="single" w:color="000000" w:sz="4" w:space="0"/>
              <w:left w:val="single" w:color="000000" w:sz="4" w:space="0"/>
              <w:right w:val="single" w:color="000000" w:sz="4" w:space="0"/>
            </w:tcBorders>
            <w:vAlign w:val="center"/>
          </w:tcPr>
          <w:p w14:paraId="5CE851D1">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临时用地</w:t>
            </w:r>
          </w:p>
        </w:tc>
        <w:tc>
          <w:tcPr>
            <w:tcW w:w="1876" w:type="dxa"/>
            <w:tcBorders>
              <w:top w:val="single" w:color="000000" w:sz="4" w:space="0"/>
              <w:left w:val="single" w:color="000000" w:sz="4" w:space="0"/>
              <w:right w:val="single" w:color="000000" w:sz="4" w:space="0"/>
            </w:tcBorders>
            <w:vAlign w:val="center"/>
          </w:tcPr>
          <w:p w14:paraId="553B5127">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陆地水域（17）</w:t>
            </w:r>
          </w:p>
        </w:tc>
        <w:tc>
          <w:tcPr>
            <w:tcW w:w="1983" w:type="dxa"/>
            <w:tcBorders>
              <w:top w:val="single" w:color="000000" w:sz="4" w:space="0"/>
              <w:left w:val="single" w:color="000000" w:sz="4" w:space="0"/>
              <w:right w:val="single" w:color="000000" w:sz="4" w:space="0"/>
            </w:tcBorders>
            <w:vAlign w:val="center"/>
          </w:tcPr>
          <w:p w14:paraId="2E65579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河流水面（1701）</w:t>
            </w:r>
          </w:p>
        </w:tc>
        <w:tc>
          <w:tcPr>
            <w:tcW w:w="776" w:type="dxa"/>
            <w:tcBorders>
              <w:top w:val="single" w:color="000000" w:sz="4" w:space="0"/>
              <w:left w:val="single" w:color="000000" w:sz="4" w:space="0"/>
              <w:bottom w:val="single" w:color="000000" w:sz="4" w:space="0"/>
              <w:right w:val="single" w:color="000000" w:sz="4" w:space="0"/>
            </w:tcBorders>
            <w:vAlign w:val="center"/>
          </w:tcPr>
          <w:p w14:paraId="4F3A160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2.6259</w:t>
            </w:r>
          </w:p>
        </w:tc>
        <w:tc>
          <w:tcPr>
            <w:tcW w:w="828" w:type="dxa"/>
            <w:tcBorders>
              <w:top w:val="single" w:color="000000" w:sz="4" w:space="0"/>
              <w:left w:val="single" w:color="000000" w:sz="4" w:space="0"/>
              <w:right w:val="single" w:color="000000" w:sz="4" w:space="0"/>
            </w:tcBorders>
            <w:vAlign w:val="center"/>
          </w:tcPr>
          <w:p w14:paraId="226986F6">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default"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拟损毁</w:t>
            </w:r>
          </w:p>
        </w:tc>
        <w:tc>
          <w:tcPr>
            <w:tcW w:w="695" w:type="dxa"/>
            <w:tcBorders>
              <w:top w:val="single" w:color="000000" w:sz="4" w:space="0"/>
              <w:left w:val="single" w:color="000000" w:sz="4" w:space="0"/>
              <w:right w:val="single" w:color="000000" w:sz="4" w:space="0"/>
            </w:tcBorders>
            <w:vAlign w:val="center"/>
          </w:tcPr>
          <w:p w14:paraId="3AA9689C">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default"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压占</w:t>
            </w:r>
          </w:p>
        </w:tc>
        <w:tc>
          <w:tcPr>
            <w:tcW w:w="709" w:type="dxa"/>
            <w:tcBorders>
              <w:top w:val="single" w:color="000000" w:sz="4" w:space="0"/>
              <w:left w:val="single" w:color="000000" w:sz="4" w:space="0"/>
              <w:right w:val="single" w:color="000000" w:sz="4" w:space="0"/>
            </w:tcBorders>
            <w:vAlign w:val="center"/>
          </w:tcPr>
          <w:p w14:paraId="7C7E5141">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default"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zh-CN" w:bidi="ar-SA"/>
              </w:rPr>
              <w:t>中度</w:t>
            </w:r>
          </w:p>
        </w:tc>
        <w:tc>
          <w:tcPr>
            <w:tcW w:w="910" w:type="dxa"/>
            <w:tcBorders>
              <w:top w:val="single" w:color="000000" w:sz="4" w:space="0"/>
              <w:left w:val="single" w:color="000000" w:sz="4" w:space="0"/>
              <w:right w:val="single" w:color="000000" w:sz="4" w:space="0"/>
            </w:tcBorders>
            <w:vAlign w:val="center"/>
          </w:tcPr>
          <w:p w14:paraId="54BFF455">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default"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zh-CN" w:bidi="ar-SA"/>
              </w:rPr>
              <w:t>施工期</w:t>
            </w:r>
          </w:p>
        </w:tc>
      </w:tr>
      <w:tr w14:paraId="6ED45669">
        <w:tblPrEx>
          <w:tblCellMar>
            <w:top w:w="0" w:type="dxa"/>
            <w:left w:w="0" w:type="dxa"/>
            <w:bottom w:w="0" w:type="dxa"/>
            <w:right w:w="0" w:type="dxa"/>
          </w:tblCellMar>
        </w:tblPrEx>
        <w:trPr>
          <w:trHeight w:val="666" w:hRule="exact"/>
        </w:trPr>
        <w:tc>
          <w:tcPr>
            <w:tcW w:w="4858" w:type="dxa"/>
            <w:gridSpan w:val="3"/>
            <w:tcBorders>
              <w:top w:val="single" w:color="000000" w:sz="4" w:space="0"/>
              <w:left w:val="single" w:color="000000" w:sz="4" w:space="0"/>
              <w:bottom w:val="single" w:color="000000" w:sz="4" w:space="0"/>
              <w:right w:val="single" w:color="000000" w:sz="4" w:space="0"/>
            </w:tcBorders>
            <w:vAlign w:val="center"/>
          </w:tcPr>
          <w:p w14:paraId="4BEE7EC2">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合计</w:t>
            </w:r>
          </w:p>
        </w:tc>
        <w:tc>
          <w:tcPr>
            <w:tcW w:w="776" w:type="dxa"/>
            <w:tcBorders>
              <w:top w:val="single" w:color="000000" w:sz="4" w:space="0"/>
              <w:left w:val="single" w:color="000000" w:sz="4" w:space="0"/>
              <w:bottom w:val="single" w:color="000000" w:sz="4" w:space="0"/>
              <w:right w:val="single" w:color="000000" w:sz="4" w:space="0"/>
            </w:tcBorders>
            <w:vAlign w:val="center"/>
          </w:tcPr>
          <w:p w14:paraId="34080D1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2.6259</w:t>
            </w:r>
          </w:p>
        </w:tc>
        <w:tc>
          <w:tcPr>
            <w:tcW w:w="828" w:type="dxa"/>
            <w:tcBorders>
              <w:top w:val="single" w:color="000000" w:sz="4" w:space="0"/>
              <w:left w:val="single" w:color="000000" w:sz="4" w:space="0"/>
              <w:bottom w:val="single" w:color="000000" w:sz="4" w:space="0"/>
              <w:right w:val="single" w:color="000000" w:sz="4" w:space="0"/>
            </w:tcBorders>
            <w:vAlign w:val="center"/>
          </w:tcPr>
          <w:p w14:paraId="064B739C">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695" w:type="dxa"/>
            <w:tcBorders>
              <w:top w:val="single" w:color="000000" w:sz="4" w:space="0"/>
              <w:left w:val="single" w:color="000000" w:sz="4" w:space="0"/>
              <w:bottom w:val="single" w:color="000000" w:sz="4" w:space="0"/>
              <w:right w:val="single" w:color="000000" w:sz="4" w:space="0"/>
            </w:tcBorders>
            <w:vAlign w:val="center"/>
          </w:tcPr>
          <w:p w14:paraId="712F14C7">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709" w:type="dxa"/>
            <w:tcBorders>
              <w:top w:val="single" w:color="000000" w:sz="4" w:space="0"/>
              <w:left w:val="single" w:color="000000" w:sz="4" w:space="0"/>
              <w:bottom w:val="single" w:color="000000" w:sz="4" w:space="0"/>
              <w:right w:val="single" w:color="000000" w:sz="4" w:space="0"/>
            </w:tcBorders>
            <w:vAlign w:val="center"/>
          </w:tcPr>
          <w:p w14:paraId="2C9F446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910" w:type="dxa"/>
            <w:tcBorders>
              <w:top w:val="single" w:color="000000" w:sz="4" w:space="0"/>
              <w:left w:val="single" w:color="000000" w:sz="4" w:space="0"/>
              <w:bottom w:val="single" w:color="000000" w:sz="4" w:space="0"/>
              <w:right w:val="single" w:color="000000" w:sz="4" w:space="0"/>
            </w:tcBorders>
            <w:vAlign w:val="center"/>
          </w:tcPr>
          <w:p w14:paraId="2828ACA0">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r>
      <w:bookmarkEnd w:id="18"/>
    </w:tbl>
    <w:p w14:paraId="072F7951">
      <w:pPr>
        <w:keepNext w:val="0"/>
        <w:keepLines w:val="0"/>
        <w:pageBreakBefore w:val="0"/>
        <w:wordWrap/>
        <w:overflowPunct/>
        <w:topLinePunct w:val="0"/>
        <w:bidi w:val="0"/>
        <w:adjustRightInd w:val="0"/>
        <w:spacing w:line="520" w:lineRule="exact"/>
        <w:rPr>
          <w:rFonts w:hint="default" w:ascii="Times New Roman" w:hAnsi="Times New Roman" w:eastAsia="方正黑体_GBK" w:cs="Times New Roman"/>
          <w:b w:val="0"/>
          <w:bCs w:val="0"/>
          <w:snapToGrid w:val="0"/>
          <w:color w:val="000000"/>
          <w:kern w:val="0"/>
          <w:sz w:val="32"/>
          <w:szCs w:val="32"/>
          <w:lang w:val="en-US" w:eastAsia="zh-CN" w:bidi="ar-SA"/>
        </w:rPr>
      </w:pPr>
    </w:p>
    <w:p w14:paraId="25876755">
      <w:pPr>
        <w:keepNext w:val="0"/>
        <w:keepLines w:val="0"/>
        <w:pageBreakBefore w:val="0"/>
        <w:wordWrap/>
        <w:overflowPunct/>
        <w:topLinePunct w:val="0"/>
        <w:bidi w:val="0"/>
        <w:adjustRightInd w:val="0"/>
        <w:spacing w:line="520" w:lineRule="exact"/>
        <w:ind w:firstLine="640" w:firstLineChars="200"/>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1.2.4土地复垦目标</w:t>
      </w:r>
    </w:p>
    <w:p w14:paraId="15269F9E">
      <w:pPr>
        <w:pStyle w:val="5"/>
        <w:keepNext w:val="0"/>
        <w:keepLines w:val="0"/>
        <w:pageBreakBefore w:val="0"/>
        <w:widowControl w:val="0"/>
        <w:kinsoku/>
        <w:wordWrap/>
        <w:overflowPunct/>
        <w:topLinePunct w:val="0"/>
        <w:autoSpaceDE/>
        <w:autoSpaceDN/>
        <w:bidi w:val="0"/>
        <w:adjustRightInd/>
        <w:snapToGrid/>
        <w:spacing w:after="0" w:line="520" w:lineRule="exact"/>
        <w:ind w:left="119" w:right="88" w:rightChars="42" w:firstLine="640" w:firstLineChars="200"/>
        <w:jc w:val="both"/>
        <w:textAlignment w:val="auto"/>
        <w:rPr>
          <w:rFonts w:hint="eastAsia" w:ascii="Times New Roman" w:hAnsi="Times New Roman" w:eastAsia="方正仿宋_GBK" w:cs="Times New Roman"/>
          <w:snapToGrid w:val="0"/>
          <w:color w:val="000000"/>
          <w:kern w:val="0"/>
          <w:sz w:val="32"/>
          <w:szCs w:val="32"/>
          <w:lang w:val="en-US" w:eastAsia="zh-CN" w:bidi="ar-SA"/>
        </w:rPr>
      </w:pPr>
      <w:r>
        <w:rPr>
          <w:rFonts w:hint="eastAsia" w:ascii="Times New Roman" w:hAnsi="Times New Roman" w:eastAsia="方正仿宋_GBK" w:cs="Times New Roman"/>
          <w:snapToGrid w:val="0"/>
          <w:color w:val="000000"/>
          <w:kern w:val="0"/>
          <w:sz w:val="32"/>
          <w:szCs w:val="32"/>
          <w:lang w:val="en-US" w:eastAsia="zh-CN" w:bidi="ar-SA"/>
        </w:rPr>
        <w:t>本复垦方案土地复垦目标为在尽量确保复垦方向与周边土地利用类型相适应、与《巴音郭楞蒙古自治州国土空间总体规划（</w:t>
      </w:r>
      <w:r>
        <w:rPr>
          <w:rFonts w:hint="default" w:ascii="Times New Roman" w:hAnsi="Times New Roman" w:eastAsia="方正仿宋_GBK" w:cs="Times New Roman"/>
          <w:snapToGrid w:val="0"/>
          <w:color w:val="000000"/>
          <w:kern w:val="0"/>
          <w:sz w:val="32"/>
          <w:szCs w:val="32"/>
          <w:lang w:val="en-US" w:eastAsia="zh-CN" w:bidi="ar-SA"/>
        </w:rPr>
        <w:t>2021</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2035</w:t>
      </w:r>
      <w:r>
        <w:rPr>
          <w:rFonts w:hint="eastAsia" w:ascii="Times New Roman" w:hAnsi="Times New Roman" w:eastAsia="方正仿宋_GBK" w:cs="Times New Roman"/>
          <w:snapToGrid w:val="0"/>
          <w:color w:val="000000"/>
          <w:kern w:val="0"/>
          <w:sz w:val="32"/>
          <w:szCs w:val="32"/>
          <w:lang w:val="en-US" w:eastAsia="zh-CN" w:bidi="ar-SA"/>
        </w:rPr>
        <w:t>年）》《和静县国土空间总体规划（</w:t>
      </w:r>
      <w:r>
        <w:rPr>
          <w:rFonts w:hint="default" w:ascii="Times New Roman" w:hAnsi="Times New Roman" w:eastAsia="方正仿宋_GBK" w:cs="Times New Roman"/>
          <w:snapToGrid w:val="0"/>
          <w:color w:val="000000"/>
          <w:kern w:val="0"/>
          <w:sz w:val="32"/>
          <w:szCs w:val="32"/>
          <w:lang w:val="en-US" w:eastAsia="zh-CN" w:bidi="ar-SA"/>
        </w:rPr>
        <w:t>2021</w:t>
      </w:r>
      <w:r>
        <w:rPr>
          <w:rFonts w:hint="eastAsia" w:ascii="Times New Roman" w:hAnsi="Times New Roman" w:eastAsia="方正仿宋_GBK" w:cs="Times New Roman"/>
          <w:snapToGrid w:val="0"/>
          <w:color w:val="000000"/>
          <w:kern w:val="0"/>
          <w:sz w:val="32"/>
          <w:szCs w:val="32"/>
          <w:lang w:val="en-US" w:eastAsia="zh-CN" w:bidi="ar-SA"/>
        </w:rPr>
        <w:t>—</w:t>
      </w:r>
      <w:r>
        <w:rPr>
          <w:rFonts w:hint="default" w:ascii="Times New Roman" w:hAnsi="Times New Roman" w:eastAsia="方正仿宋_GBK" w:cs="Times New Roman"/>
          <w:snapToGrid w:val="0"/>
          <w:color w:val="000000"/>
          <w:kern w:val="0"/>
          <w:sz w:val="32"/>
          <w:szCs w:val="32"/>
          <w:lang w:val="en-US" w:eastAsia="zh-CN" w:bidi="ar-SA"/>
        </w:rPr>
        <w:t>2035</w:t>
      </w:r>
      <w:r>
        <w:rPr>
          <w:rFonts w:hint="eastAsia" w:ascii="Times New Roman" w:hAnsi="Times New Roman" w:eastAsia="方正仿宋_GBK" w:cs="Times New Roman"/>
          <w:snapToGrid w:val="0"/>
          <w:color w:val="000000"/>
          <w:kern w:val="0"/>
          <w:sz w:val="32"/>
          <w:szCs w:val="32"/>
          <w:lang w:val="en-US" w:eastAsia="zh-CN" w:bidi="ar-SA"/>
        </w:rPr>
        <w:t>年）》保持一致的情况下，根据土地复垦适宜性评价分析结果，结合项目区自然环境特征，确定项目区土地复垦方向、复垦面积及土地复垦率。本方案复垦责任范围面积为2.6259公顷，拟复垦方向为原地类，土地复垦率为</w:t>
      </w:r>
      <w:r>
        <w:rPr>
          <w:rFonts w:hint="default" w:ascii="Times New Roman" w:hAnsi="Times New Roman" w:eastAsia="方正仿宋_GBK" w:cs="Times New Roman"/>
          <w:snapToGrid w:val="0"/>
          <w:color w:val="000000"/>
          <w:kern w:val="0"/>
          <w:sz w:val="32"/>
          <w:szCs w:val="32"/>
          <w:lang w:val="en-US" w:eastAsia="zh-CN" w:bidi="ar-SA"/>
        </w:rPr>
        <w:t>100%</w:t>
      </w:r>
      <w:r>
        <w:rPr>
          <w:rFonts w:hint="eastAsia" w:ascii="Times New Roman" w:hAnsi="Times New Roman" w:eastAsia="方正仿宋_GBK" w:cs="Times New Roman"/>
          <w:snapToGrid w:val="0"/>
          <w:color w:val="000000"/>
          <w:kern w:val="0"/>
          <w:sz w:val="32"/>
          <w:szCs w:val="32"/>
          <w:lang w:val="en-US" w:eastAsia="zh-CN" w:bidi="ar-SA"/>
        </w:rPr>
        <w:t>。复垦前后土地利用结构调整见表</w:t>
      </w:r>
      <w:r>
        <w:rPr>
          <w:rFonts w:hint="default" w:ascii="Times New Roman" w:hAnsi="Times New Roman" w:eastAsia="方正仿宋_GBK" w:cs="Times New Roman"/>
          <w:snapToGrid w:val="0"/>
          <w:color w:val="000000"/>
          <w:kern w:val="0"/>
          <w:sz w:val="32"/>
          <w:szCs w:val="32"/>
          <w:lang w:val="en-US" w:eastAsia="zh-CN" w:bidi="ar-SA"/>
        </w:rPr>
        <w:t>1-3</w:t>
      </w:r>
      <w:r>
        <w:rPr>
          <w:rFonts w:hint="eastAsia" w:ascii="Times New Roman" w:hAnsi="Times New Roman" w:eastAsia="方正仿宋_GBK" w:cs="Times New Roman"/>
          <w:snapToGrid w:val="0"/>
          <w:color w:val="000000"/>
          <w:kern w:val="0"/>
          <w:sz w:val="32"/>
          <w:szCs w:val="32"/>
          <w:lang w:val="en-US" w:eastAsia="zh-CN" w:bidi="ar-SA"/>
        </w:rPr>
        <w:t>。</w:t>
      </w:r>
    </w:p>
    <w:p w14:paraId="0E96F921">
      <w:pPr>
        <w:pStyle w:val="5"/>
        <w:keepNext w:val="0"/>
        <w:keepLines w:val="0"/>
        <w:pageBreakBefore w:val="0"/>
        <w:widowControl w:val="0"/>
        <w:kinsoku/>
        <w:wordWrap/>
        <w:overflowPunct/>
        <w:topLinePunct w:val="0"/>
        <w:autoSpaceDE/>
        <w:autoSpaceDN/>
        <w:bidi w:val="0"/>
        <w:adjustRightInd/>
        <w:snapToGrid/>
        <w:spacing w:after="0" w:line="520" w:lineRule="exact"/>
        <w:ind w:right="88" w:rightChars="42"/>
        <w:jc w:val="center"/>
        <w:textAlignment w:val="auto"/>
        <w:rPr>
          <w:rFonts w:hint="default"/>
          <w:b/>
          <w:bCs/>
          <w:color w:val="auto"/>
          <w:sz w:val="24"/>
          <w:szCs w:val="24"/>
        </w:rPr>
      </w:pPr>
      <w:r>
        <w:rPr>
          <w:rFonts w:hint="default"/>
          <w:b/>
          <w:bCs/>
          <w:color w:val="auto"/>
          <w:sz w:val="24"/>
          <w:szCs w:val="24"/>
        </w:rPr>
        <w:t>表1-3复垦前后土地利用结构调整表单位：公顷</w:t>
      </w:r>
    </w:p>
    <w:tbl>
      <w:tblPr>
        <w:tblStyle w:val="11"/>
        <w:tblW w:w="8698" w:type="dxa"/>
        <w:tblInd w:w="102" w:type="dxa"/>
        <w:tblLayout w:type="fixed"/>
        <w:tblCellMar>
          <w:top w:w="0" w:type="dxa"/>
          <w:left w:w="0" w:type="dxa"/>
          <w:bottom w:w="0" w:type="dxa"/>
          <w:right w:w="0" w:type="dxa"/>
        </w:tblCellMar>
      </w:tblPr>
      <w:tblGrid>
        <w:gridCol w:w="1010"/>
        <w:gridCol w:w="1776"/>
        <w:gridCol w:w="2110"/>
        <w:gridCol w:w="1119"/>
        <w:gridCol w:w="1951"/>
        <w:gridCol w:w="732"/>
      </w:tblGrid>
      <w:tr w14:paraId="58CB6EBF">
        <w:tblPrEx>
          <w:tblCellMar>
            <w:top w:w="0" w:type="dxa"/>
            <w:left w:w="0" w:type="dxa"/>
            <w:bottom w:w="0" w:type="dxa"/>
            <w:right w:w="0" w:type="dxa"/>
          </w:tblCellMar>
        </w:tblPrEx>
        <w:trPr>
          <w:trHeight w:val="500" w:hRule="exact"/>
        </w:trPr>
        <w:tc>
          <w:tcPr>
            <w:tcW w:w="1010" w:type="dxa"/>
            <w:vMerge w:val="restart"/>
            <w:tcBorders>
              <w:top w:val="single" w:color="000000" w:sz="4" w:space="0"/>
              <w:left w:val="single" w:color="000000" w:sz="4" w:space="0"/>
              <w:right w:val="single" w:color="000000" w:sz="4" w:space="0"/>
            </w:tcBorders>
            <w:vAlign w:val="center"/>
          </w:tcPr>
          <w:p w14:paraId="5D5AB5ED">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名称</w:t>
            </w:r>
          </w:p>
        </w:tc>
        <w:tc>
          <w:tcPr>
            <w:tcW w:w="1776" w:type="dxa"/>
            <w:tcBorders>
              <w:top w:val="single" w:color="000000" w:sz="4" w:space="0"/>
              <w:left w:val="single" w:color="000000" w:sz="4" w:space="0"/>
              <w:bottom w:val="single" w:color="000000" w:sz="4" w:space="0"/>
              <w:right w:val="single" w:color="000000" w:sz="4" w:space="0"/>
            </w:tcBorders>
            <w:vAlign w:val="center"/>
          </w:tcPr>
          <w:p w14:paraId="18DB0320">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一级地类</w:t>
            </w:r>
          </w:p>
        </w:tc>
        <w:tc>
          <w:tcPr>
            <w:tcW w:w="2110" w:type="dxa"/>
            <w:tcBorders>
              <w:top w:val="single" w:color="000000" w:sz="4" w:space="0"/>
              <w:left w:val="single" w:color="000000" w:sz="4" w:space="0"/>
              <w:bottom w:val="single" w:color="000000" w:sz="4" w:space="0"/>
              <w:right w:val="single" w:color="000000" w:sz="4" w:space="0"/>
            </w:tcBorders>
            <w:vAlign w:val="center"/>
          </w:tcPr>
          <w:p w14:paraId="5DA15CF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二级地类</w:t>
            </w:r>
          </w:p>
        </w:tc>
        <w:tc>
          <w:tcPr>
            <w:tcW w:w="1119" w:type="dxa"/>
            <w:vMerge w:val="restart"/>
            <w:tcBorders>
              <w:top w:val="single" w:color="000000" w:sz="4" w:space="0"/>
              <w:left w:val="single" w:color="000000" w:sz="4" w:space="0"/>
              <w:right w:val="single" w:color="000000" w:sz="4" w:space="0"/>
            </w:tcBorders>
            <w:vAlign w:val="center"/>
          </w:tcPr>
          <w:p w14:paraId="16CB2A3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面积</w:t>
            </w:r>
          </w:p>
        </w:tc>
        <w:tc>
          <w:tcPr>
            <w:tcW w:w="1951" w:type="dxa"/>
            <w:vMerge w:val="restart"/>
            <w:tcBorders>
              <w:top w:val="single" w:color="000000" w:sz="4" w:space="0"/>
              <w:left w:val="single" w:color="000000" w:sz="4" w:space="0"/>
              <w:right w:val="single" w:color="000000" w:sz="4" w:space="0"/>
            </w:tcBorders>
            <w:vAlign w:val="center"/>
          </w:tcPr>
          <w:p w14:paraId="2C322721">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复垦方向</w:t>
            </w:r>
          </w:p>
        </w:tc>
        <w:tc>
          <w:tcPr>
            <w:tcW w:w="732" w:type="dxa"/>
            <w:vMerge w:val="restart"/>
            <w:tcBorders>
              <w:top w:val="single" w:color="000000" w:sz="4" w:space="0"/>
              <w:left w:val="single" w:color="000000" w:sz="4" w:space="0"/>
              <w:right w:val="single" w:color="000000" w:sz="4" w:space="0"/>
            </w:tcBorders>
            <w:vAlign w:val="center"/>
          </w:tcPr>
          <w:p w14:paraId="376B675A">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变幅</w:t>
            </w:r>
          </w:p>
        </w:tc>
      </w:tr>
      <w:tr w14:paraId="34E26CD7">
        <w:tblPrEx>
          <w:tblCellMar>
            <w:top w:w="0" w:type="dxa"/>
            <w:left w:w="0" w:type="dxa"/>
            <w:bottom w:w="0" w:type="dxa"/>
            <w:right w:w="0" w:type="dxa"/>
          </w:tblCellMar>
        </w:tblPrEx>
        <w:trPr>
          <w:trHeight w:val="501" w:hRule="exact"/>
        </w:trPr>
        <w:tc>
          <w:tcPr>
            <w:tcW w:w="1010" w:type="dxa"/>
            <w:vMerge w:val="continue"/>
            <w:tcBorders>
              <w:left w:val="single" w:color="000000" w:sz="4" w:space="0"/>
              <w:bottom w:val="single" w:color="000000" w:sz="4" w:space="0"/>
              <w:right w:val="single" w:color="000000" w:sz="4" w:space="0"/>
            </w:tcBorders>
            <w:vAlign w:val="center"/>
          </w:tcPr>
          <w:p w14:paraId="033AA20C">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1776" w:type="dxa"/>
            <w:tcBorders>
              <w:top w:val="single" w:color="000000" w:sz="4" w:space="0"/>
              <w:left w:val="single" w:color="000000" w:sz="4" w:space="0"/>
              <w:bottom w:val="single" w:color="000000" w:sz="4" w:space="0"/>
              <w:right w:val="single" w:color="000000" w:sz="4" w:space="0"/>
            </w:tcBorders>
            <w:vAlign w:val="center"/>
          </w:tcPr>
          <w:p w14:paraId="3720016B">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地类</w:t>
            </w:r>
          </w:p>
        </w:tc>
        <w:tc>
          <w:tcPr>
            <w:tcW w:w="2110" w:type="dxa"/>
            <w:tcBorders>
              <w:top w:val="single" w:color="000000" w:sz="4" w:space="0"/>
              <w:left w:val="single" w:color="000000" w:sz="4" w:space="0"/>
              <w:bottom w:val="single" w:color="000000" w:sz="4" w:space="0"/>
              <w:right w:val="single" w:color="000000" w:sz="4" w:space="0"/>
            </w:tcBorders>
            <w:vAlign w:val="center"/>
          </w:tcPr>
          <w:p w14:paraId="346C75C1">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地类</w:t>
            </w:r>
          </w:p>
        </w:tc>
        <w:tc>
          <w:tcPr>
            <w:tcW w:w="1119" w:type="dxa"/>
            <w:vMerge w:val="continue"/>
            <w:tcBorders>
              <w:left w:val="single" w:color="000000" w:sz="4" w:space="0"/>
              <w:bottom w:val="single" w:color="000000" w:sz="4" w:space="0"/>
              <w:right w:val="single" w:color="000000" w:sz="4" w:space="0"/>
            </w:tcBorders>
            <w:vAlign w:val="center"/>
          </w:tcPr>
          <w:p w14:paraId="61CB9297">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1951" w:type="dxa"/>
            <w:vMerge w:val="continue"/>
            <w:tcBorders>
              <w:left w:val="single" w:color="000000" w:sz="4" w:space="0"/>
              <w:bottom w:val="single" w:color="000000" w:sz="4" w:space="0"/>
              <w:right w:val="single" w:color="000000" w:sz="4" w:space="0"/>
            </w:tcBorders>
            <w:vAlign w:val="center"/>
          </w:tcPr>
          <w:p w14:paraId="3F672A0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732" w:type="dxa"/>
            <w:vMerge w:val="continue"/>
            <w:tcBorders>
              <w:left w:val="single" w:color="000000" w:sz="4" w:space="0"/>
              <w:bottom w:val="single" w:color="000000" w:sz="4" w:space="0"/>
              <w:right w:val="single" w:color="000000" w:sz="4" w:space="0"/>
            </w:tcBorders>
            <w:vAlign w:val="center"/>
          </w:tcPr>
          <w:p w14:paraId="76C13378">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r>
      <w:tr w14:paraId="61572C85">
        <w:tblPrEx>
          <w:tblCellMar>
            <w:top w:w="0" w:type="dxa"/>
            <w:left w:w="0" w:type="dxa"/>
            <w:bottom w:w="0" w:type="dxa"/>
            <w:right w:w="0" w:type="dxa"/>
          </w:tblCellMar>
        </w:tblPrEx>
        <w:trPr>
          <w:trHeight w:val="500" w:hRule="exact"/>
        </w:trPr>
        <w:tc>
          <w:tcPr>
            <w:tcW w:w="1010" w:type="dxa"/>
            <w:tcBorders>
              <w:left w:val="single" w:color="000000" w:sz="4" w:space="0"/>
              <w:right w:val="single" w:color="000000" w:sz="4" w:space="0"/>
            </w:tcBorders>
            <w:vAlign w:val="center"/>
          </w:tcPr>
          <w:p w14:paraId="35D40181">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临时用地</w:t>
            </w:r>
          </w:p>
        </w:tc>
        <w:tc>
          <w:tcPr>
            <w:tcW w:w="1776" w:type="dxa"/>
            <w:tcBorders>
              <w:top w:val="single" w:color="000000" w:sz="4" w:space="0"/>
              <w:left w:val="single" w:color="000000" w:sz="4" w:space="0"/>
              <w:bottom w:val="single" w:color="000000" w:sz="4" w:space="0"/>
              <w:right w:val="single" w:color="000000" w:sz="4" w:space="0"/>
            </w:tcBorders>
            <w:vAlign w:val="center"/>
          </w:tcPr>
          <w:p w14:paraId="69FB04A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陆地水域（17）</w:t>
            </w:r>
          </w:p>
        </w:tc>
        <w:tc>
          <w:tcPr>
            <w:tcW w:w="2110" w:type="dxa"/>
            <w:tcBorders>
              <w:top w:val="single" w:color="000000" w:sz="4" w:space="0"/>
              <w:left w:val="single" w:color="000000" w:sz="4" w:space="0"/>
              <w:bottom w:val="single" w:color="000000" w:sz="4" w:space="0"/>
              <w:right w:val="single" w:color="000000" w:sz="4" w:space="0"/>
            </w:tcBorders>
            <w:vAlign w:val="center"/>
          </w:tcPr>
          <w:p w14:paraId="6E39376C">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河流水面（1701）</w:t>
            </w:r>
          </w:p>
        </w:tc>
        <w:tc>
          <w:tcPr>
            <w:tcW w:w="1119" w:type="dxa"/>
            <w:tcBorders>
              <w:top w:val="single" w:color="000000" w:sz="4" w:space="0"/>
              <w:left w:val="single" w:color="000000" w:sz="4" w:space="0"/>
              <w:bottom w:val="single" w:color="000000" w:sz="4" w:space="0"/>
              <w:right w:val="single" w:color="000000" w:sz="4" w:space="0"/>
            </w:tcBorders>
            <w:vAlign w:val="center"/>
          </w:tcPr>
          <w:p w14:paraId="47DCC785">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2.6259</w:t>
            </w:r>
          </w:p>
        </w:tc>
        <w:tc>
          <w:tcPr>
            <w:tcW w:w="1951" w:type="dxa"/>
            <w:tcBorders>
              <w:top w:val="single" w:color="000000" w:sz="4" w:space="0"/>
              <w:left w:val="single" w:color="000000" w:sz="4" w:space="0"/>
              <w:bottom w:val="single" w:color="000000" w:sz="4" w:space="0"/>
              <w:right w:val="single" w:color="000000" w:sz="4" w:space="0"/>
            </w:tcBorders>
            <w:vAlign w:val="center"/>
          </w:tcPr>
          <w:p w14:paraId="082427A0">
            <w:pPr>
              <w:pStyle w:val="19"/>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河流水面（1701）</w:t>
            </w:r>
          </w:p>
        </w:tc>
        <w:tc>
          <w:tcPr>
            <w:tcW w:w="732" w:type="dxa"/>
            <w:tcBorders>
              <w:top w:val="single" w:color="000000" w:sz="4" w:space="0"/>
              <w:left w:val="single" w:color="000000" w:sz="4" w:space="0"/>
              <w:bottom w:val="single" w:color="000000" w:sz="4" w:space="0"/>
              <w:right w:val="single" w:color="000000" w:sz="4" w:space="0"/>
            </w:tcBorders>
            <w:vAlign w:val="center"/>
          </w:tcPr>
          <w:p w14:paraId="25733AA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0</w:t>
            </w:r>
          </w:p>
        </w:tc>
      </w:tr>
      <w:tr w14:paraId="3FA4B5BC">
        <w:tblPrEx>
          <w:tblCellMar>
            <w:top w:w="0" w:type="dxa"/>
            <w:left w:w="0" w:type="dxa"/>
            <w:bottom w:w="0" w:type="dxa"/>
            <w:right w:w="0" w:type="dxa"/>
          </w:tblCellMar>
        </w:tblPrEx>
        <w:trPr>
          <w:trHeight w:val="543" w:hRule="exact"/>
        </w:trPr>
        <w:tc>
          <w:tcPr>
            <w:tcW w:w="4896" w:type="dxa"/>
            <w:gridSpan w:val="3"/>
            <w:tcBorders>
              <w:top w:val="single" w:color="000000" w:sz="4" w:space="0"/>
              <w:left w:val="single" w:color="000000" w:sz="4" w:space="0"/>
              <w:bottom w:val="single" w:color="000000" w:sz="4" w:space="0"/>
              <w:right w:val="single" w:color="000000" w:sz="4" w:space="0"/>
            </w:tcBorders>
            <w:vAlign w:val="center"/>
          </w:tcPr>
          <w:p w14:paraId="748A73D9">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r>
              <w:rPr>
                <w:rFonts w:hint="eastAsia" w:ascii="仿宋" w:hAnsi="仿宋" w:eastAsia="仿宋" w:cs="仿宋"/>
                <w:color w:val="auto"/>
                <w:sz w:val="18"/>
                <w:szCs w:val="18"/>
                <w:lang w:val="en-US" w:eastAsia="en-US" w:bidi="ar-SA"/>
              </w:rPr>
              <w:t>合计</w:t>
            </w:r>
          </w:p>
        </w:tc>
        <w:tc>
          <w:tcPr>
            <w:tcW w:w="1119" w:type="dxa"/>
            <w:tcBorders>
              <w:top w:val="single" w:color="000000" w:sz="4" w:space="0"/>
              <w:left w:val="single" w:color="000000" w:sz="4" w:space="0"/>
              <w:bottom w:val="single" w:color="000000" w:sz="4" w:space="0"/>
              <w:right w:val="single" w:color="000000" w:sz="4" w:space="0"/>
            </w:tcBorders>
            <w:vAlign w:val="center"/>
          </w:tcPr>
          <w:p w14:paraId="71A3BF8D">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zh-CN" w:bidi="ar-SA"/>
              </w:rPr>
            </w:pPr>
            <w:r>
              <w:rPr>
                <w:rFonts w:hint="eastAsia" w:ascii="仿宋" w:hAnsi="仿宋" w:eastAsia="仿宋" w:cs="仿宋"/>
                <w:color w:val="auto"/>
                <w:sz w:val="18"/>
                <w:szCs w:val="18"/>
                <w:lang w:val="en-US" w:eastAsia="zh-CN" w:bidi="ar-SA"/>
              </w:rPr>
              <w:t>2.6259</w:t>
            </w:r>
          </w:p>
        </w:tc>
        <w:tc>
          <w:tcPr>
            <w:tcW w:w="1951" w:type="dxa"/>
            <w:tcBorders>
              <w:top w:val="single" w:color="000000" w:sz="4" w:space="0"/>
              <w:left w:val="single" w:color="000000" w:sz="4" w:space="0"/>
              <w:bottom w:val="single" w:color="000000" w:sz="4" w:space="0"/>
              <w:right w:val="single" w:color="000000" w:sz="4" w:space="0"/>
            </w:tcBorders>
            <w:vAlign w:val="center"/>
          </w:tcPr>
          <w:p w14:paraId="460A43CA">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c>
          <w:tcPr>
            <w:tcW w:w="732" w:type="dxa"/>
            <w:tcBorders>
              <w:top w:val="single" w:color="000000" w:sz="4" w:space="0"/>
              <w:left w:val="single" w:color="000000" w:sz="4" w:space="0"/>
              <w:bottom w:val="single" w:color="000000" w:sz="4" w:space="0"/>
              <w:right w:val="single" w:color="000000" w:sz="4" w:space="0"/>
            </w:tcBorders>
            <w:vAlign w:val="center"/>
          </w:tcPr>
          <w:p w14:paraId="36661CFF">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lang w:val="en-US" w:eastAsia="en-US" w:bidi="ar-SA"/>
              </w:rPr>
            </w:pPr>
          </w:p>
        </w:tc>
      </w:tr>
    </w:tbl>
    <w:p w14:paraId="27BCF47D">
      <w:pPr>
        <w:keepNext w:val="0"/>
        <w:keepLines w:val="0"/>
        <w:pageBreakBefore w:val="0"/>
        <w:wordWrap/>
        <w:overflowPunct/>
        <w:topLinePunct w:val="0"/>
        <w:bidi w:val="0"/>
        <w:adjustRightInd w:val="0"/>
        <w:spacing w:line="520" w:lineRule="exact"/>
        <w:ind w:firstLine="640" w:firstLineChars="200"/>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1.2.5复垦的投资情况</w:t>
      </w:r>
    </w:p>
    <w:p w14:paraId="37EF0D1B">
      <w:pPr>
        <w:pStyle w:val="5"/>
        <w:keepNext w:val="0"/>
        <w:keepLines w:val="0"/>
        <w:pageBreakBefore w:val="0"/>
        <w:widowControl w:val="0"/>
        <w:kinsoku/>
        <w:wordWrap/>
        <w:overflowPunct/>
        <w:topLinePunct w:val="0"/>
        <w:autoSpaceDE/>
        <w:autoSpaceDN/>
        <w:bidi w:val="0"/>
        <w:adjustRightInd/>
        <w:snapToGrid/>
        <w:spacing w:after="0" w:line="520" w:lineRule="exact"/>
        <w:ind w:left="119" w:right="88" w:rightChars="42" w:firstLine="640" w:firstLineChars="200"/>
        <w:jc w:val="both"/>
        <w:textAlignment w:val="auto"/>
        <w:rPr>
          <w:rFonts w:hint="eastAsia" w:ascii="Times New Roman" w:hAnsi="Times New Roman" w:eastAsia="方正仿宋_GBK" w:cs="Times New Roman"/>
          <w:snapToGrid w:val="0"/>
          <w:color w:val="000000"/>
          <w:kern w:val="0"/>
          <w:sz w:val="32"/>
          <w:szCs w:val="32"/>
          <w:lang w:val="en-US" w:eastAsia="zh-CN" w:bidi="ar-SA"/>
        </w:rPr>
      </w:pPr>
      <w:r>
        <w:rPr>
          <w:rFonts w:hint="eastAsia" w:ascii="Times New Roman" w:hAnsi="Times New Roman" w:eastAsia="方正仿宋_GBK" w:cs="Times New Roman"/>
          <w:snapToGrid w:val="0"/>
          <w:color w:val="000000"/>
          <w:kern w:val="0"/>
          <w:sz w:val="32"/>
          <w:szCs w:val="32"/>
          <w:lang w:val="en-US" w:eastAsia="zh-CN" w:bidi="ar-SA"/>
        </w:rPr>
        <w:t>本项目土地复垦投资依据复垦工程内容及工程量进行估算，土地复垦静态总投资20.0443万元，亩均投资5088.87元。其中，工程施工费15.2828万元，占静态总投资76.24%；其他费用1.8645万元，占静态总投资9.3%；基本预备费用0.5144万元，占静态总投资2.57%；监测与管护费用2.3826万元，占静态总投资11.89%。</w:t>
      </w:r>
    </w:p>
    <w:p w14:paraId="1E42E84F">
      <w:pPr>
        <w:pStyle w:val="5"/>
        <w:keepNext w:val="0"/>
        <w:keepLines w:val="0"/>
        <w:pageBreakBefore w:val="0"/>
        <w:widowControl w:val="0"/>
        <w:kinsoku/>
        <w:wordWrap/>
        <w:overflowPunct/>
        <w:topLinePunct w:val="0"/>
        <w:autoSpaceDE/>
        <w:autoSpaceDN/>
        <w:bidi w:val="0"/>
        <w:adjustRightInd/>
        <w:snapToGrid/>
        <w:spacing w:after="0" w:line="520" w:lineRule="exact"/>
        <w:ind w:right="88" w:rightChars="42"/>
        <w:jc w:val="center"/>
        <w:textAlignment w:val="auto"/>
        <w:rPr>
          <w:rFonts w:hint="default"/>
          <w:b/>
          <w:bCs/>
          <w:color w:val="auto"/>
          <w:sz w:val="24"/>
          <w:szCs w:val="24"/>
        </w:rPr>
      </w:pPr>
      <w:r>
        <w:rPr>
          <w:rFonts w:hint="default"/>
          <w:b/>
          <w:bCs/>
          <w:color w:val="auto"/>
          <w:sz w:val="24"/>
          <w:szCs w:val="24"/>
        </w:rPr>
        <w:t>表1-4项目土地复垦阶段各年度工程量安排表单位：万元</w:t>
      </w:r>
    </w:p>
    <w:tbl>
      <w:tblPr>
        <w:tblStyle w:val="11"/>
        <w:tblW w:w="8778" w:type="dxa"/>
        <w:tblInd w:w="102" w:type="dxa"/>
        <w:tblLayout w:type="fixed"/>
        <w:tblCellMar>
          <w:top w:w="0" w:type="dxa"/>
          <w:left w:w="0" w:type="dxa"/>
          <w:bottom w:w="0" w:type="dxa"/>
          <w:right w:w="0" w:type="dxa"/>
        </w:tblCellMar>
      </w:tblPr>
      <w:tblGrid>
        <w:gridCol w:w="766"/>
        <w:gridCol w:w="2838"/>
        <w:gridCol w:w="4054"/>
        <w:gridCol w:w="1120"/>
      </w:tblGrid>
      <w:tr w14:paraId="1EF1F5EF">
        <w:tblPrEx>
          <w:tblCellMar>
            <w:top w:w="0" w:type="dxa"/>
            <w:left w:w="0" w:type="dxa"/>
            <w:bottom w:w="0" w:type="dxa"/>
            <w:right w:w="0" w:type="dxa"/>
          </w:tblCellMar>
        </w:tblPrEx>
        <w:trPr>
          <w:trHeight w:val="699" w:hRule="exact"/>
        </w:trPr>
        <w:tc>
          <w:tcPr>
            <w:tcW w:w="766" w:type="dxa"/>
            <w:vMerge w:val="restart"/>
            <w:tcBorders>
              <w:top w:val="single" w:color="000000" w:sz="4" w:space="0"/>
              <w:left w:val="single" w:color="000000" w:sz="4" w:space="0"/>
              <w:right w:val="single" w:color="000000" w:sz="4" w:space="0"/>
            </w:tcBorders>
            <w:vAlign w:val="center"/>
          </w:tcPr>
          <w:p w14:paraId="3318EB38">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left"/>
              <w:textAlignment w:val="auto"/>
              <w:rPr>
                <w:rFonts w:hint="eastAsia" w:ascii="仿宋" w:hAnsi="仿宋" w:eastAsia="仿宋" w:cs="仿宋"/>
                <w:color w:val="auto"/>
                <w:sz w:val="18"/>
                <w:szCs w:val="18"/>
              </w:rPr>
            </w:pPr>
          </w:p>
          <w:p w14:paraId="3BFC49B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b/>
                <w:bCs/>
                <w:color w:val="auto"/>
                <w:sz w:val="18"/>
                <w:szCs w:val="18"/>
              </w:rPr>
            </w:pPr>
            <w:r>
              <w:rPr>
                <w:rFonts w:hint="eastAsia" w:ascii="仿宋" w:hAnsi="仿宋" w:eastAsia="仿宋" w:cs="仿宋"/>
                <w:b/>
                <w:bCs/>
                <w:color w:val="auto"/>
                <w:sz w:val="18"/>
                <w:szCs w:val="18"/>
              </w:rPr>
              <w:t>服务</w:t>
            </w:r>
          </w:p>
          <w:p w14:paraId="76294141">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18"/>
                <w:szCs w:val="18"/>
              </w:rPr>
              <w:t>年限</w:t>
            </w:r>
          </w:p>
        </w:tc>
        <w:tc>
          <w:tcPr>
            <w:tcW w:w="2838" w:type="dxa"/>
            <w:vMerge w:val="restart"/>
            <w:tcBorders>
              <w:top w:val="single" w:color="000000" w:sz="4" w:space="0"/>
              <w:left w:val="single" w:color="000000" w:sz="4" w:space="0"/>
              <w:right w:val="single" w:color="000000" w:sz="4" w:space="0"/>
            </w:tcBorders>
            <w:vAlign w:val="center"/>
          </w:tcPr>
          <w:p w14:paraId="77441C76">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18"/>
                <w:szCs w:val="18"/>
              </w:rPr>
              <w:t>复垦年度（年）</w:t>
            </w:r>
          </w:p>
        </w:tc>
        <w:tc>
          <w:tcPr>
            <w:tcW w:w="4054" w:type="dxa"/>
            <w:vMerge w:val="restart"/>
            <w:tcBorders>
              <w:top w:val="single" w:color="000000" w:sz="4" w:space="0"/>
              <w:left w:val="single" w:color="000000" w:sz="4" w:space="0"/>
              <w:right w:val="single" w:color="000000" w:sz="4" w:space="0"/>
            </w:tcBorders>
            <w:vAlign w:val="center"/>
          </w:tcPr>
          <w:p w14:paraId="4BB83E0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18"/>
                <w:szCs w:val="18"/>
              </w:rPr>
              <w:t>复垦方式</w:t>
            </w:r>
          </w:p>
        </w:tc>
        <w:tc>
          <w:tcPr>
            <w:tcW w:w="1120" w:type="dxa"/>
            <w:tcBorders>
              <w:top w:val="single" w:color="000000" w:sz="4" w:space="0"/>
              <w:left w:val="single" w:color="000000" w:sz="4" w:space="0"/>
              <w:bottom w:val="single" w:color="000000" w:sz="4" w:space="0"/>
              <w:right w:val="single" w:color="000000" w:sz="4" w:space="0"/>
            </w:tcBorders>
            <w:vAlign w:val="center"/>
          </w:tcPr>
          <w:p w14:paraId="36B8C737">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18"/>
                <w:szCs w:val="18"/>
              </w:rPr>
              <w:t>复垦静态</w:t>
            </w:r>
          </w:p>
          <w:p w14:paraId="3CA92D05">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18"/>
                <w:szCs w:val="18"/>
              </w:rPr>
              <w:t>投资</w:t>
            </w:r>
          </w:p>
        </w:tc>
      </w:tr>
      <w:tr w14:paraId="7610CA03">
        <w:tblPrEx>
          <w:tblCellMar>
            <w:top w:w="0" w:type="dxa"/>
            <w:left w:w="0" w:type="dxa"/>
            <w:bottom w:w="0" w:type="dxa"/>
            <w:right w:w="0" w:type="dxa"/>
          </w:tblCellMar>
        </w:tblPrEx>
        <w:trPr>
          <w:trHeight w:val="457" w:hRule="exact"/>
        </w:trPr>
        <w:tc>
          <w:tcPr>
            <w:tcW w:w="766" w:type="dxa"/>
            <w:vMerge w:val="continue"/>
            <w:tcBorders>
              <w:left w:val="single" w:color="000000" w:sz="4" w:space="0"/>
              <w:right w:val="single" w:color="000000" w:sz="4" w:space="0"/>
            </w:tcBorders>
            <w:vAlign w:val="center"/>
          </w:tcPr>
          <w:p w14:paraId="660CA17B">
            <w:pPr>
              <w:keepNext w:val="0"/>
              <w:keepLines w:val="0"/>
              <w:pageBreakBefore w:val="0"/>
              <w:widowControl w:val="0"/>
              <w:kinsoku/>
              <w:wordWrap/>
              <w:overflowPunct/>
              <w:topLinePunct w:val="0"/>
              <w:autoSpaceDE/>
              <w:autoSpaceDN/>
              <w:bidi w:val="0"/>
              <w:adjustRightInd/>
              <w:snapToGrid/>
              <w:spacing w:line="520" w:lineRule="exact"/>
              <w:ind w:left="0" w:right="0" w:rightChars="0"/>
              <w:textAlignment w:val="auto"/>
              <w:rPr>
                <w:rFonts w:hint="eastAsia" w:ascii="仿宋" w:hAnsi="仿宋" w:eastAsia="仿宋" w:cs="仿宋"/>
                <w:color w:val="auto"/>
                <w:sz w:val="18"/>
                <w:szCs w:val="18"/>
              </w:rPr>
            </w:pPr>
          </w:p>
        </w:tc>
        <w:tc>
          <w:tcPr>
            <w:tcW w:w="2838" w:type="dxa"/>
            <w:vMerge w:val="continue"/>
            <w:tcBorders>
              <w:left w:val="single" w:color="000000" w:sz="4" w:space="0"/>
              <w:bottom w:val="single" w:color="000000" w:sz="4" w:space="0"/>
              <w:right w:val="single" w:color="000000" w:sz="4" w:space="0"/>
            </w:tcBorders>
            <w:vAlign w:val="center"/>
          </w:tcPr>
          <w:p w14:paraId="7F2EAC90">
            <w:pPr>
              <w:keepNext w:val="0"/>
              <w:keepLines w:val="0"/>
              <w:pageBreakBefore w:val="0"/>
              <w:widowControl w:val="0"/>
              <w:kinsoku/>
              <w:wordWrap/>
              <w:overflowPunct/>
              <w:topLinePunct w:val="0"/>
              <w:autoSpaceDE/>
              <w:autoSpaceDN/>
              <w:bidi w:val="0"/>
              <w:adjustRightInd/>
              <w:snapToGrid/>
              <w:spacing w:line="520" w:lineRule="exact"/>
              <w:ind w:left="0" w:right="0" w:rightChars="0"/>
              <w:textAlignment w:val="auto"/>
              <w:rPr>
                <w:rFonts w:hint="eastAsia" w:ascii="仿宋" w:hAnsi="仿宋" w:eastAsia="仿宋" w:cs="仿宋"/>
                <w:color w:val="auto"/>
                <w:sz w:val="18"/>
                <w:szCs w:val="18"/>
              </w:rPr>
            </w:pPr>
          </w:p>
        </w:tc>
        <w:tc>
          <w:tcPr>
            <w:tcW w:w="4054" w:type="dxa"/>
            <w:vMerge w:val="continue"/>
            <w:tcBorders>
              <w:left w:val="single" w:color="000000" w:sz="4" w:space="0"/>
              <w:bottom w:val="single" w:color="000000" w:sz="4" w:space="0"/>
              <w:right w:val="single" w:color="000000" w:sz="4" w:space="0"/>
            </w:tcBorders>
            <w:vAlign w:val="center"/>
          </w:tcPr>
          <w:p w14:paraId="08B957E5">
            <w:pPr>
              <w:keepNext w:val="0"/>
              <w:keepLines w:val="0"/>
              <w:pageBreakBefore w:val="0"/>
              <w:widowControl w:val="0"/>
              <w:kinsoku/>
              <w:wordWrap/>
              <w:overflowPunct/>
              <w:topLinePunct w:val="0"/>
              <w:autoSpaceDE/>
              <w:autoSpaceDN/>
              <w:bidi w:val="0"/>
              <w:adjustRightInd/>
              <w:snapToGrid/>
              <w:spacing w:line="520" w:lineRule="exact"/>
              <w:ind w:left="0" w:right="0" w:rightChars="0"/>
              <w:textAlignment w:val="auto"/>
              <w:rPr>
                <w:rFonts w:hint="eastAsia" w:ascii="仿宋" w:hAnsi="仿宋" w:eastAsia="仿宋" w:cs="仿宋"/>
                <w:color w:val="auto"/>
                <w:sz w:val="18"/>
                <w:szCs w:val="18"/>
              </w:rPr>
            </w:pPr>
          </w:p>
        </w:tc>
        <w:tc>
          <w:tcPr>
            <w:tcW w:w="1120" w:type="dxa"/>
            <w:tcBorders>
              <w:top w:val="single" w:color="000000" w:sz="4" w:space="0"/>
              <w:left w:val="single" w:color="000000" w:sz="4" w:space="0"/>
              <w:bottom w:val="single" w:color="000000" w:sz="4" w:space="0"/>
              <w:right w:val="single" w:color="000000" w:sz="4" w:space="0"/>
            </w:tcBorders>
            <w:vAlign w:val="center"/>
          </w:tcPr>
          <w:p w14:paraId="78B28795">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18"/>
                <w:szCs w:val="18"/>
              </w:rPr>
              <w:t>万元</w:t>
            </w:r>
          </w:p>
        </w:tc>
      </w:tr>
      <w:tr w14:paraId="1D51433F">
        <w:tblPrEx>
          <w:tblCellMar>
            <w:top w:w="0" w:type="dxa"/>
            <w:left w:w="0" w:type="dxa"/>
            <w:bottom w:w="0" w:type="dxa"/>
            <w:right w:w="0" w:type="dxa"/>
          </w:tblCellMar>
        </w:tblPrEx>
        <w:trPr>
          <w:trHeight w:val="699" w:hRule="exact"/>
        </w:trPr>
        <w:tc>
          <w:tcPr>
            <w:tcW w:w="766" w:type="dxa"/>
            <w:vMerge w:val="continue"/>
            <w:tcBorders>
              <w:left w:val="single" w:color="000000" w:sz="4" w:space="0"/>
              <w:right w:val="single" w:color="000000" w:sz="4" w:space="0"/>
            </w:tcBorders>
            <w:vAlign w:val="center"/>
          </w:tcPr>
          <w:p w14:paraId="47926571">
            <w:pPr>
              <w:keepNext w:val="0"/>
              <w:keepLines w:val="0"/>
              <w:pageBreakBefore w:val="0"/>
              <w:widowControl w:val="0"/>
              <w:kinsoku/>
              <w:wordWrap/>
              <w:overflowPunct/>
              <w:topLinePunct w:val="0"/>
              <w:autoSpaceDE/>
              <w:autoSpaceDN/>
              <w:bidi w:val="0"/>
              <w:adjustRightInd/>
              <w:snapToGrid/>
              <w:spacing w:line="520" w:lineRule="exact"/>
              <w:ind w:left="0" w:right="0" w:rightChars="0"/>
              <w:textAlignment w:val="auto"/>
              <w:rPr>
                <w:rFonts w:hint="eastAsia" w:ascii="仿宋" w:hAnsi="仿宋" w:eastAsia="仿宋" w:cs="仿宋"/>
                <w:color w:val="auto"/>
                <w:sz w:val="18"/>
                <w:szCs w:val="18"/>
              </w:rPr>
            </w:pPr>
          </w:p>
        </w:tc>
        <w:tc>
          <w:tcPr>
            <w:tcW w:w="2838" w:type="dxa"/>
            <w:tcBorders>
              <w:top w:val="single" w:color="000000" w:sz="4" w:space="0"/>
              <w:left w:val="single" w:color="000000" w:sz="4" w:space="0"/>
              <w:bottom w:val="single" w:color="000000" w:sz="4" w:space="0"/>
              <w:right w:val="single" w:color="000000" w:sz="4" w:space="0"/>
            </w:tcBorders>
            <w:vAlign w:val="center"/>
          </w:tcPr>
          <w:p w14:paraId="079A468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2026</w:t>
            </w:r>
            <w:r>
              <w:rPr>
                <w:rFonts w:hint="eastAsia" w:ascii="仿宋" w:hAnsi="仿宋" w:eastAsia="仿宋" w:cs="仿宋"/>
                <w:color w:val="auto"/>
                <w:position w:val="1"/>
                <w:sz w:val="18"/>
                <w:szCs w:val="18"/>
              </w:rPr>
              <w:t>年</w:t>
            </w:r>
            <w:r>
              <w:rPr>
                <w:rFonts w:hint="eastAsia" w:ascii="仿宋" w:hAnsi="仿宋" w:eastAsia="仿宋" w:cs="仿宋"/>
                <w:color w:val="auto"/>
                <w:sz w:val="18"/>
                <w:szCs w:val="18"/>
                <w:lang w:val="en-US" w:eastAsia="zh-CN"/>
              </w:rPr>
              <w:t>10</w:t>
            </w:r>
            <w:r>
              <w:rPr>
                <w:rFonts w:hint="eastAsia" w:ascii="仿宋" w:hAnsi="仿宋" w:eastAsia="仿宋" w:cs="仿宋"/>
                <w:color w:val="auto"/>
                <w:position w:val="1"/>
                <w:sz w:val="18"/>
                <w:szCs w:val="18"/>
              </w:rPr>
              <w:t>月至</w:t>
            </w:r>
            <w:r>
              <w:rPr>
                <w:rFonts w:hint="eastAsia" w:ascii="仿宋" w:hAnsi="仿宋" w:eastAsia="仿宋" w:cs="仿宋"/>
                <w:color w:val="auto"/>
                <w:sz w:val="18"/>
                <w:szCs w:val="18"/>
              </w:rPr>
              <w:t>2029</w:t>
            </w:r>
            <w:r>
              <w:rPr>
                <w:rFonts w:hint="eastAsia" w:ascii="仿宋" w:hAnsi="仿宋" w:eastAsia="仿宋" w:cs="仿宋"/>
                <w:color w:val="auto"/>
                <w:position w:val="1"/>
                <w:sz w:val="18"/>
                <w:szCs w:val="18"/>
              </w:rPr>
              <w:t>年</w:t>
            </w:r>
            <w:r>
              <w:rPr>
                <w:rFonts w:hint="eastAsia" w:ascii="仿宋" w:hAnsi="仿宋" w:eastAsia="仿宋" w:cs="仿宋"/>
                <w:color w:val="auto"/>
                <w:sz w:val="18"/>
                <w:szCs w:val="18"/>
              </w:rPr>
              <w:t>1</w:t>
            </w:r>
            <w:r>
              <w:rPr>
                <w:rFonts w:hint="eastAsia" w:ascii="仿宋" w:hAnsi="仿宋" w:eastAsia="仿宋" w:cs="仿宋"/>
                <w:color w:val="auto"/>
                <w:sz w:val="18"/>
                <w:szCs w:val="18"/>
                <w:lang w:val="en-US" w:eastAsia="zh-CN"/>
              </w:rPr>
              <w:t>2</w:t>
            </w:r>
            <w:r>
              <w:rPr>
                <w:rFonts w:hint="eastAsia" w:ascii="仿宋" w:hAnsi="仿宋" w:eastAsia="仿宋" w:cs="仿宋"/>
                <w:color w:val="auto"/>
                <w:position w:val="1"/>
                <w:sz w:val="18"/>
                <w:szCs w:val="18"/>
              </w:rPr>
              <w:t>月</w:t>
            </w:r>
          </w:p>
        </w:tc>
        <w:tc>
          <w:tcPr>
            <w:tcW w:w="4054" w:type="dxa"/>
            <w:tcBorders>
              <w:top w:val="single" w:color="000000" w:sz="4" w:space="0"/>
              <w:left w:val="single" w:color="000000" w:sz="4" w:space="0"/>
              <w:bottom w:val="single" w:color="000000" w:sz="4" w:space="0"/>
              <w:right w:val="single" w:color="000000" w:sz="4" w:space="0"/>
            </w:tcBorders>
            <w:vAlign w:val="center"/>
          </w:tcPr>
          <w:p w14:paraId="3E8A595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土地损毁监测、表土剥离</w:t>
            </w:r>
          </w:p>
        </w:tc>
        <w:tc>
          <w:tcPr>
            <w:tcW w:w="1120" w:type="dxa"/>
            <w:tcBorders>
              <w:top w:val="single" w:color="000000" w:sz="4" w:space="0"/>
              <w:left w:val="single" w:color="000000" w:sz="4" w:space="0"/>
              <w:bottom w:val="single" w:color="000000" w:sz="4" w:space="0"/>
              <w:right w:val="single" w:color="000000" w:sz="4" w:space="0"/>
            </w:tcBorders>
            <w:vAlign w:val="center"/>
          </w:tcPr>
          <w:p w14:paraId="67BF8294">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3.151</w:t>
            </w:r>
          </w:p>
        </w:tc>
      </w:tr>
      <w:tr w14:paraId="3F9C6465">
        <w:tblPrEx>
          <w:tblCellMar>
            <w:top w:w="0" w:type="dxa"/>
            <w:left w:w="0" w:type="dxa"/>
            <w:bottom w:w="0" w:type="dxa"/>
            <w:right w:w="0" w:type="dxa"/>
          </w:tblCellMar>
        </w:tblPrEx>
        <w:trPr>
          <w:trHeight w:val="985" w:hRule="exact"/>
        </w:trPr>
        <w:tc>
          <w:tcPr>
            <w:tcW w:w="766" w:type="dxa"/>
            <w:vMerge w:val="continue"/>
            <w:tcBorders>
              <w:left w:val="single" w:color="000000" w:sz="4" w:space="0"/>
              <w:right w:val="single" w:color="000000" w:sz="4" w:space="0"/>
            </w:tcBorders>
            <w:vAlign w:val="center"/>
          </w:tcPr>
          <w:p w14:paraId="55565A00">
            <w:pPr>
              <w:keepNext w:val="0"/>
              <w:keepLines w:val="0"/>
              <w:pageBreakBefore w:val="0"/>
              <w:widowControl w:val="0"/>
              <w:kinsoku/>
              <w:wordWrap/>
              <w:overflowPunct/>
              <w:topLinePunct w:val="0"/>
              <w:autoSpaceDE/>
              <w:autoSpaceDN/>
              <w:bidi w:val="0"/>
              <w:adjustRightInd/>
              <w:snapToGrid/>
              <w:spacing w:line="520" w:lineRule="exact"/>
              <w:ind w:left="0" w:right="0" w:rightChars="0"/>
              <w:textAlignment w:val="auto"/>
              <w:rPr>
                <w:rFonts w:hint="eastAsia" w:ascii="仿宋" w:hAnsi="仿宋" w:eastAsia="仿宋" w:cs="仿宋"/>
                <w:color w:val="auto"/>
                <w:sz w:val="18"/>
                <w:szCs w:val="18"/>
              </w:rPr>
            </w:pPr>
          </w:p>
        </w:tc>
        <w:tc>
          <w:tcPr>
            <w:tcW w:w="2838" w:type="dxa"/>
            <w:tcBorders>
              <w:top w:val="single" w:color="000000" w:sz="4" w:space="0"/>
              <w:left w:val="single" w:color="000000" w:sz="4" w:space="0"/>
              <w:bottom w:val="single" w:color="000000" w:sz="4" w:space="0"/>
              <w:right w:val="single" w:color="000000" w:sz="4" w:space="0"/>
            </w:tcBorders>
            <w:vAlign w:val="center"/>
          </w:tcPr>
          <w:p w14:paraId="4AC8BA4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20</w:t>
            </w:r>
            <w:r>
              <w:rPr>
                <w:rFonts w:hint="eastAsia" w:ascii="仿宋" w:hAnsi="仿宋" w:eastAsia="仿宋" w:cs="仿宋"/>
                <w:color w:val="auto"/>
                <w:sz w:val="18"/>
                <w:szCs w:val="18"/>
                <w:lang w:val="en-US" w:eastAsia="zh-CN"/>
              </w:rPr>
              <w:t>30</w:t>
            </w:r>
            <w:r>
              <w:rPr>
                <w:rFonts w:hint="eastAsia" w:ascii="仿宋" w:hAnsi="仿宋" w:eastAsia="仿宋" w:cs="仿宋"/>
                <w:color w:val="auto"/>
                <w:position w:val="1"/>
                <w:sz w:val="18"/>
                <w:szCs w:val="18"/>
              </w:rPr>
              <w:t>年</w:t>
            </w:r>
            <w:r>
              <w:rPr>
                <w:rFonts w:hint="eastAsia" w:ascii="仿宋" w:hAnsi="仿宋" w:eastAsia="仿宋" w:cs="仿宋"/>
                <w:color w:val="auto"/>
                <w:sz w:val="18"/>
                <w:szCs w:val="18"/>
              </w:rPr>
              <w:t>1</w:t>
            </w:r>
            <w:r>
              <w:rPr>
                <w:rFonts w:hint="eastAsia" w:ascii="仿宋" w:hAnsi="仿宋" w:eastAsia="仿宋" w:cs="仿宋"/>
                <w:color w:val="auto"/>
                <w:position w:val="1"/>
                <w:sz w:val="18"/>
                <w:szCs w:val="18"/>
              </w:rPr>
              <w:t>月至</w:t>
            </w:r>
            <w:r>
              <w:rPr>
                <w:rFonts w:hint="eastAsia" w:ascii="仿宋" w:hAnsi="仿宋" w:eastAsia="仿宋" w:cs="仿宋"/>
                <w:color w:val="auto"/>
                <w:sz w:val="18"/>
                <w:szCs w:val="18"/>
              </w:rPr>
              <w:t>2030</w:t>
            </w:r>
            <w:r>
              <w:rPr>
                <w:rFonts w:hint="eastAsia" w:ascii="仿宋" w:hAnsi="仿宋" w:eastAsia="仿宋" w:cs="仿宋"/>
                <w:color w:val="auto"/>
                <w:position w:val="1"/>
                <w:sz w:val="18"/>
                <w:szCs w:val="18"/>
              </w:rPr>
              <w:t>年</w:t>
            </w:r>
            <w:r>
              <w:rPr>
                <w:rFonts w:hint="eastAsia" w:ascii="仿宋" w:hAnsi="仿宋" w:eastAsia="仿宋" w:cs="仿宋"/>
                <w:color w:val="auto"/>
                <w:sz w:val="18"/>
                <w:szCs w:val="18"/>
                <w:lang w:val="en-US" w:eastAsia="zh-CN"/>
              </w:rPr>
              <w:t>9</w:t>
            </w:r>
            <w:r>
              <w:rPr>
                <w:rFonts w:hint="eastAsia" w:ascii="仿宋" w:hAnsi="仿宋" w:eastAsia="仿宋" w:cs="仿宋"/>
                <w:color w:val="auto"/>
                <w:position w:val="1"/>
                <w:sz w:val="18"/>
                <w:szCs w:val="18"/>
              </w:rPr>
              <w:t>月</w:t>
            </w:r>
          </w:p>
        </w:tc>
        <w:tc>
          <w:tcPr>
            <w:tcW w:w="4054" w:type="dxa"/>
            <w:tcBorders>
              <w:top w:val="single" w:color="000000" w:sz="4" w:space="0"/>
              <w:left w:val="single" w:color="000000" w:sz="4" w:space="0"/>
              <w:bottom w:val="single" w:color="000000" w:sz="4" w:space="0"/>
              <w:right w:val="single" w:color="000000" w:sz="4" w:space="0"/>
            </w:tcBorders>
            <w:vAlign w:val="center"/>
          </w:tcPr>
          <w:p w14:paraId="14662639">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地表固化物清除、清理砂砾石运输、土地平整、翻耕松土、表土回覆、土壤培肥、植被重建</w:t>
            </w:r>
          </w:p>
        </w:tc>
        <w:tc>
          <w:tcPr>
            <w:tcW w:w="1120" w:type="dxa"/>
            <w:tcBorders>
              <w:top w:val="single" w:color="000000" w:sz="4" w:space="0"/>
              <w:left w:val="single" w:color="000000" w:sz="4" w:space="0"/>
              <w:bottom w:val="single" w:color="000000" w:sz="4" w:space="0"/>
              <w:right w:val="single" w:color="000000" w:sz="4" w:space="0"/>
            </w:tcBorders>
            <w:vAlign w:val="center"/>
          </w:tcPr>
          <w:p w14:paraId="221ECC15">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default" w:ascii="仿宋" w:hAnsi="仿宋" w:eastAsia="仿宋" w:cs="仿宋"/>
                <w:color w:val="auto"/>
                <w:sz w:val="18"/>
                <w:szCs w:val="18"/>
                <w:lang w:val="en-US" w:eastAsia="zh-CN"/>
              </w:rPr>
            </w:pPr>
            <w:r>
              <w:rPr>
                <w:rFonts w:hint="eastAsia" w:ascii="仿宋" w:hAnsi="仿宋" w:eastAsia="仿宋" w:cs="仿宋"/>
                <w:color w:val="auto"/>
                <w:sz w:val="18"/>
                <w:szCs w:val="18"/>
                <w:lang w:val="en-US" w:eastAsia="zh-CN"/>
              </w:rPr>
              <w:t>14.5107</w:t>
            </w:r>
          </w:p>
        </w:tc>
      </w:tr>
      <w:tr w14:paraId="489F7667">
        <w:tblPrEx>
          <w:tblCellMar>
            <w:top w:w="0" w:type="dxa"/>
            <w:left w:w="0" w:type="dxa"/>
            <w:bottom w:w="0" w:type="dxa"/>
            <w:right w:w="0" w:type="dxa"/>
          </w:tblCellMar>
        </w:tblPrEx>
        <w:trPr>
          <w:trHeight w:val="701" w:hRule="exact"/>
        </w:trPr>
        <w:tc>
          <w:tcPr>
            <w:tcW w:w="766" w:type="dxa"/>
            <w:vMerge w:val="continue"/>
            <w:tcBorders>
              <w:left w:val="single" w:color="000000" w:sz="4" w:space="0"/>
              <w:bottom w:val="single" w:color="000000" w:sz="4" w:space="0"/>
              <w:right w:val="single" w:color="000000" w:sz="4" w:space="0"/>
            </w:tcBorders>
            <w:vAlign w:val="center"/>
          </w:tcPr>
          <w:p w14:paraId="53AC87A6">
            <w:pPr>
              <w:keepNext w:val="0"/>
              <w:keepLines w:val="0"/>
              <w:pageBreakBefore w:val="0"/>
              <w:widowControl w:val="0"/>
              <w:kinsoku/>
              <w:wordWrap/>
              <w:overflowPunct/>
              <w:topLinePunct w:val="0"/>
              <w:autoSpaceDE/>
              <w:autoSpaceDN/>
              <w:bidi w:val="0"/>
              <w:adjustRightInd/>
              <w:snapToGrid/>
              <w:spacing w:line="520" w:lineRule="exact"/>
              <w:ind w:left="0" w:right="0" w:rightChars="0"/>
              <w:textAlignment w:val="auto"/>
              <w:rPr>
                <w:rFonts w:hint="eastAsia" w:ascii="仿宋" w:hAnsi="仿宋" w:eastAsia="仿宋" w:cs="仿宋"/>
                <w:color w:val="auto"/>
                <w:sz w:val="18"/>
                <w:szCs w:val="18"/>
              </w:rPr>
            </w:pPr>
          </w:p>
        </w:tc>
        <w:tc>
          <w:tcPr>
            <w:tcW w:w="2838" w:type="dxa"/>
            <w:tcBorders>
              <w:top w:val="single" w:color="000000" w:sz="4" w:space="0"/>
              <w:left w:val="single" w:color="000000" w:sz="4" w:space="0"/>
              <w:bottom w:val="single" w:color="000000" w:sz="4" w:space="0"/>
              <w:right w:val="single" w:color="000000" w:sz="4" w:space="0"/>
            </w:tcBorders>
            <w:vAlign w:val="center"/>
          </w:tcPr>
          <w:p w14:paraId="24746286">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2030</w:t>
            </w:r>
            <w:r>
              <w:rPr>
                <w:rFonts w:hint="eastAsia" w:ascii="仿宋" w:hAnsi="仿宋" w:eastAsia="仿宋" w:cs="仿宋"/>
                <w:color w:val="auto"/>
                <w:position w:val="1"/>
                <w:sz w:val="18"/>
                <w:szCs w:val="18"/>
              </w:rPr>
              <w:t>年</w:t>
            </w:r>
            <w:r>
              <w:rPr>
                <w:rFonts w:hint="eastAsia" w:ascii="仿宋" w:hAnsi="仿宋" w:eastAsia="仿宋" w:cs="仿宋"/>
                <w:color w:val="auto"/>
                <w:sz w:val="18"/>
                <w:szCs w:val="18"/>
                <w:lang w:val="en-US" w:eastAsia="zh-CN"/>
              </w:rPr>
              <w:t>10</w:t>
            </w:r>
            <w:r>
              <w:rPr>
                <w:rFonts w:hint="eastAsia" w:ascii="仿宋" w:hAnsi="仿宋" w:eastAsia="仿宋" w:cs="仿宋"/>
                <w:color w:val="auto"/>
                <w:position w:val="1"/>
                <w:sz w:val="18"/>
                <w:szCs w:val="18"/>
              </w:rPr>
              <w:t>月至</w:t>
            </w:r>
            <w:r>
              <w:rPr>
                <w:rFonts w:hint="eastAsia" w:ascii="仿宋" w:hAnsi="仿宋" w:eastAsia="仿宋" w:cs="仿宋"/>
                <w:color w:val="auto"/>
                <w:sz w:val="18"/>
                <w:szCs w:val="18"/>
              </w:rPr>
              <w:t>2033</w:t>
            </w:r>
            <w:r>
              <w:rPr>
                <w:rFonts w:hint="eastAsia" w:ascii="仿宋" w:hAnsi="仿宋" w:eastAsia="仿宋" w:cs="仿宋"/>
                <w:color w:val="auto"/>
                <w:position w:val="1"/>
                <w:sz w:val="18"/>
                <w:szCs w:val="18"/>
              </w:rPr>
              <w:t>年</w:t>
            </w:r>
            <w:r>
              <w:rPr>
                <w:rFonts w:hint="eastAsia" w:ascii="仿宋" w:hAnsi="仿宋" w:eastAsia="仿宋" w:cs="仿宋"/>
                <w:color w:val="auto"/>
                <w:sz w:val="18"/>
                <w:szCs w:val="18"/>
                <w:lang w:val="en-US" w:eastAsia="zh-CN"/>
              </w:rPr>
              <w:t>9</w:t>
            </w:r>
            <w:r>
              <w:rPr>
                <w:rFonts w:hint="eastAsia" w:ascii="仿宋" w:hAnsi="仿宋" w:eastAsia="仿宋" w:cs="仿宋"/>
                <w:color w:val="auto"/>
                <w:position w:val="1"/>
                <w:sz w:val="18"/>
                <w:szCs w:val="18"/>
              </w:rPr>
              <w:t>月</w:t>
            </w:r>
          </w:p>
        </w:tc>
        <w:tc>
          <w:tcPr>
            <w:tcW w:w="4054" w:type="dxa"/>
            <w:tcBorders>
              <w:top w:val="single" w:color="000000" w:sz="4" w:space="0"/>
              <w:left w:val="single" w:color="000000" w:sz="4" w:space="0"/>
              <w:bottom w:val="single" w:color="000000" w:sz="4" w:space="0"/>
              <w:right w:val="single" w:color="000000" w:sz="4" w:space="0"/>
            </w:tcBorders>
            <w:vAlign w:val="center"/>
          </w:tcPr>
          <w:p w14:paraId="3FAA7C43">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color w:val="auto"/>
                <w:sz w:val="18"/>
                <w:szCs w:val="18"/>
              </w:rPr>
              <w:t>监测、管护</w:t>
            </w:r>
          </w:p>
        </w:tc>
        <w:tc>
          <w:tcPr>
            <w:tcW w:w="1120" w:type="dxa"/>
            <w:tcBorders>
              <w:top w:val="single" w:color="000000" w:sz="4" w:space="0"/>
              <w:left w:val="single" w:color="000000" w:sz="4" w:space="0"/>
              <w:bottom w:val="single" w:color="000000" w:sz="4" w:space="0"/>
              <w:right w:val="single" w:color="000000" w:sz="4" w:space="0"/>
            </w:tcBorders>
            <w:vAlign w:val="center"/>
          </w:tcPr>
          <w:p w14:paraId="65016F2E">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default" w:ascii="仿宋" w:hAnsi="仿宋" w:eastAsia="仿宋" w:cs="仿宋"/>
                <w:color w:val="auto"/>
                <w:sz w:val="18"/>
                <w:szCs w:val="18"/>
                <w:lang w:val="en-US"/>
              </w:rPr>
            </w:pPr>
            <w:r>
              <w:rPr>
                <w:rFonts w:hint="eastAsia" w:ascii="仿宋" w:hAnsi="仿宋" w:eastAsia="仿宋" w:cs="仿宋"/>
                <w:b w:val="0"/>
                <w:bCs w:val="0"/>
                <w:color w:val="auto"/>
                <w:sz w:val="18"/>
                <w:szCs w:val="18"/>
                <w:highlight w:val="none"/>
                <w:lang w:val="en-US" w:eastAsia="zh-CN"/>
              </w:rPr>
              <w:t>2.3826</w:t>
            </w:r>
          </w:p>
        </w:tc>
      </w:tr>
      <w:tr w14:paraId="21F1C826">
        <w:tblPrEx>
          <w:tblCellMar>
            <w:top w:w="0" w:type="dxa"/>
            <w:left w:w="0" w:type="dxa"/>
            <w:bottom w:w="0" w:type="dxa"/>
            <w:right w:w="0" w:type="dxa"/>
          </w:tblCellMar>
        </w:tblPrEx>
        <w:trPr>
          <w:trHeight w:val="588" w:hRule="exact"/>
        </w:trPr>
        <w:tc>
          <w:tcPr>
            <w:tcW w:w="3604" w:type="dxa"/>
            <w:gridSpan w:val="2"/>
            <w:tcBorders>
              <w:top w:val="single" w:color="000000" w:sz="4" w:space="0"/>
              <w:left w:val="single" w:color="000000" w:sz="4" w:space="0"/>
              <w:bottom w:val="single" w:color="000000" w:sz="4" w:space="0"/>
              <w:right w:val="single" w:color="000000" w:sz="4" w:space="0"/>
            </w:tcBorders>
            <w:vAlign w:val="center"/>
          </w:tcPr>
          <w:p w14:paraId="032BFAB5">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bCs/>
                <w:color w:val="auto"/>
                <w:sz w:val="18"/>
                <w:szCs w:val="18"/>
              </w:rPr>
              <w:t>总计</w:t>
            </w:r>
          </w:p>
        </w:tc>
        <w:tc>
          <w:tcPr>
            <w:tcW w:w="4054" w:type="dxa"/>
            <w:tcBorders>
              <w:top w:val="single" w:color="000000" w:sz="4" w:space="0"/>
              <w:left w:val="single" w:color="000000" w:sz="4" w:space="0"/>
              <w:bottom w:val="single" w:color="000000" w:sz="4" w:space="0"/>
              <w:right w:val="single" w:color="000000" w:sz="4" w:space="0"/>
            </w:tcBorders>
            <w:vAlign w:val="center"/>
          </w:tcPr>
          <w:p w14:paraId="0B40908C">
            <w:pPr>
              <w:keepNext w:val="0"/>
              <w:keepLines w:val="0"/>
              <w:pageBreakBefore w:val="0"/>
              <w:widowControl w:val="0"/>
              <w:kinsoku/>
              <w:wordWrap/>
              <w:overflowPunct/>
              <w:topLinePunct w:val="0"/>
              <w:autoSpaceDE/>
              <w:autoSpaceDN/>
              <w:bidi w:val="0"/>
              <w:adjustRightInd/>
              <w:snapToGrid/>
              <w:spacing w:line="520" w:lineRule="exact"/>
              <w:ind w:left="0" w:right="0" w:rightChars="0"/>
              <w:textAlignment w:val="auto"/>
              <w:rPr>
                <w:rFonts w:hint="eastAsia" w:ascii="仿宋" w:hAnsi="仿宋" w:eastAsia="仿宋" w:cs="仿宋"/>
                <w:color w:val="auto"/>
                <w:sz w:val="18"/>
                <w:szCs w:val="18"/>
              </w:rPr>
            </w:pPr>
          </w:p>
        </w:tc>
        <w:tc>
          <w:tcPr>
            <w:tcW w:w="1120" w:type="dxa"/>
            <w:tcBorders>
              <w:top w:val="single" w:color="000000" w:sz="4" w:space="0"/>
              <w:left w:val="single" w:color="000000" w:sz="4" w:space="0"/>
              <w:bottom w:val="single" w:color="000000" w:sz="4" w:space="0"/>
              <w:right w:val="single" w:color="000000" w:sz="4" w:space="0"/>
            </w:tcBorders>
            <w:vAlign w:val="center"/>
          </w:tcPr>
          <w:p w14:paraId="2A36E01D">
            <w:pPr>
              <w:pStyle w:val="19"/>
              <w:keepNext w:val="0"/>
              <w:keepLines w:val="0"/>
              <w:pageBreakBefore w:val="0"/>
              <w:widowControl w:val="0"/>
              <w:kinsoku/>
              <w:wordWrap/>
              <w:overflowPunct/>
              <w:topLinePunct w:val="0"/>
              <w:autoSpaceDE/>
              <w:autoSpaceDN/>
              <w:bidi w:val="0"/>
              <w:adjustRightInd/>
              <w:snapToGrid/>
              <w:spacing w:line="520" w:lineRule="exact"/>
              <w:ind w:left="0" w:right="0" w:rightChars="0"/>
              <w:jc w:val="center"/>
              <w:textAlignment w:val="auto"/>
              <w:rPr>
                <w:rFonts w:hint="eastAsia" w:ascii="仿宋" w:hAnsi="仿宋" w:eastAsia="仿宋" w:cs="仿宋"/>
                <w:color w:val="auto"/>
                <w:sz w:val="18"/>
                <w:szCs w:val="18"/>
              </w:rPr>
            </w:pPr>
            <w:r>
              <w:rPr>
                <w:rFonts w:hint="eastAsia" w:ascii="仿宋" w:hAnsi="仿宋" w:eastAsia="仿宋" w:cs="仿宋"/>
                <w:b w:val="0"/>
                <w:bCs w:val="0"/>
                <w:color w:val="auto"/>
                <w:spacing w:val="-3"/>
                <w:sz w:val="18"/>
                <w:szCs w:val="18"/>
                <w:highlight w:val="none"/>
                <w:lang w:val="en-US" w:eastAsia="zh-CN"/>
              </w:rPr>
              <w:t>20.0443</w:t>
            </w:r>
          </w:p>
        </w:tc>
      </w:tr>
    </w:tbl>
    <w:p w14:paraId="3B77511A">
      <w:pPr>
        <w:pStyle w:val="17"/>
        <w:keepNext w:val="0"/>
        <w:keepLines w:val="0"/>
        <w:pageBreakBefore w:val="0"/>
        <w:widowControl w:val="0"/>
        <w:kinsoku/>
        <w:wordWrap/>
        <w:overflowPunct/>
        <w:topLinePunct w:val="0"/>
        <w:autoSpaceDE/>
        <w:autoSpaceDN/>
        <w:bidi w:val="0"/>
        <w:adjustRightInd/>
        <w:spacing w:line="560" w:lineRule="exact"/>
        <w:ind w:left="0" w:leftChars="0" w:firstLine="640" w:firstLineChars="200"/>
        <w:jc w:val="left"/>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三、征询公众意见内容</w:t>
      </w:r>
    </w:p>
    <w:p w14:paraId="4DA89409">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1.土地损毁面积是否符合实际</w:t>
      </w:r>
      <w:r>
        <w:rPr>
          <w:rFonts w:hint="eastAsia" w:ascii="Times New Roman" w:hAnsi="Times New Roman" w:eastAsia="方正仿宋_GBK" w:cs="Times New Roman"/>
          <w:spacing w:val="0"/>
          <w:sz w:val="32"/>
          <w:szCs w:val="32"/>
          <w:lang w:val="en-US" w:eastAsia="zh-CN"/>
        </w:rPr>
        <w:t>批复面积</w:t>
      </w:r>
      <w:r>
        <w:rPr>
          <w:rFonts w:hint="default" w:ascii="Times New Roman" w:hAnsi="Times New Roman" w:eastAsia="方正仿宋_GBK" w:cs="Times New Roman"/>
          <w:spacing w:val="0"/>
          <w:sz w:val="32"/>
          <w:szCs w:val="32"/>
          <w:lang w:val="en-US" w:eastAsia="zh-CN"/>
        </w:rPr>
        <w:t>。</w:t>
      </w:r>
    </w:p>
    <w:p w14:paraId="7B5AA1A8">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2.</w:t>
      </w:r>
      <w:r>
        <w:rPr>
          <w:rFonts w:hint="eastAsia" w:ascii="Times New Roman" w:hAnsi="Times New Roman" w:eastAsia="方正仿宋_GBK" w:cs="Times New Roman"/>
          <w:spacing w:val="0"/>
          <w:sz w:val="32"/>
          <w:szCs w:val="32"/>
          <w:lang w:val="en-US" w:eastAsia="zh-CN"/>
        </w:rPr>
        <w:t>临时用地办理期间是否对牧民草场进行合理补偿</w:t>
      </w:r>
      <w:r>
        <w:rPr>
          <w:rFonts w:hint="default" w:ascii="Times New Roman" w:hAnsi="Times New Roman" w:eastAsia="方正仿宋_GBK" w:cs="Times New Roman"/>
          <w:spacing w:val="0"/>
          <w:sz w:val="32"/>
          <w:szCs w:val="32"/>
          <w:lang w:val="en-US" w:eastAsia="zh-CN"/>
        </w:rPr>
        <w:t>。</w:t>
      </w:r>
    </w:p>
    <w:p w14:paraId="554DFA0B">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val="en-US" w:eastAsia="zh-CN"/>
        </w:rPr>
        <w:t>3.</w:t>
      </w:r>
      <w:r>
        <w:rPr>
          <w:rFonts w:hint="default" w:ascii="Times New Roman" w:hAnsi="Times New Roman" w:eastAsia="方正仿宋_GBK" w:cs="Times New Roman"/>
          <w:color w:val="000000"/>
          <w:spacing w:val="0"/>
          <w:sz w:val="32"/>
          <w:szCs w:val="32"/>
          <w:lang w:val="en-US" w:eastAsia="zh-CN"/>
        </w:rPr>
        <w:t>生产年限到期没有进行复垦</w:t>
      </w:r>
      <w:r>
        <w:rPr>
          <w:rFonts w:hint="eastAsia" w:ascii="Times New Roman" w:hAnsi="Times New Roman" w:eastAsia="方正仿宋_GBK" w:cs="Times New Roman"/>
          <w:color w:val="000000"/>
          <w:spacing w:val="0"/>
          <w:sz w:val="32"/>
          <w:szCs w:val="32"/>
          <w:lang w:val="en-US" w:eastAsia="zh-CN"/>
        </w:rPr>
        <w:t>的，县</w:t>
      </w:r>
      <w:r>
        <w:rPr>
          <w:rFonts w:hint="default" w:ascii="Times New Roman" w:hAnsi="Times New Roman" w:eastAsia="方正仿宋_GBK" w:cs="Times New Roman"/>
          <w:color w:val="000000"/>
          <w:spacing w:val="0"/>
          <w:sz w:val="32"/>
          <w:szCs w:val="32"/>
          <w:lang w:val="en-US" w:eastAsia="zh-CN"/>
        </w:rPr>
        <w:t>自然资源局</w:t>
      </w:r>
      <w:r>
        <w:rPr>
          <w:rFonts w:hint="eastAsia" w:ascii="Times New Roman" w:hAnsi="Times New Roman" w:eastAsia="方正仿宋_GBK" w:cs="Times New Roman"/>
          <w:color w:val="000000"/>
          <w:spacing w:val="0"/>
          <w:sz w:val="32"/>
          <w:szCs w:val="32"/>
          <w:lang w:val="en-US" w:eastAsia="zh-CN"/>
        </w:rPr>
        <w:t>是否设立</w:t>
      </w:r>
      <w:r>
        <w:rPr>
          <w:rFonts w:hint="default" w:ascii="Times New Roman" w:hAnsi="Times New Roman" w:eastAsia="方正仿宋_GBK" w:cs="Times New Roman"/>
          <w:color w:val="000000"/>
          <w:spacing w:val="0"/>
          <w:sz w:val="32"/>
          <w:szCs w:val="32"/>
          <w:lang w:val="en-US" w:eastAsia="zh-CN"/>
        </w:rPr>
        <w:t>举报</w:t>
      </w:r>
      <w:r>
        <w:rPr>
          <w:rFonts w:hint="eastAsia" w:ascii="Times New Roman" w:hAnsi="Times New Roman" w:eastAsia="方正仿宋_GBK" w:cs="Times New Roman"/>
          <w:color w:val="000000"/>
          <w:spacing w:val="0"/>
          <w:sz w:val="32"/>
          <w:szCs w:val="32"/>
          <w:lang w:val="en-US" w:eastAsia="zh-CN"/>
        </w:rPr>
        <w:t>途径</w:t>
      </w:r>
      <w:r>
        <w:rPr>
          <w:rFonts w:hint="default" w:ascii="Times New Roman" w:hAnsi="Times New Roman" w:eastAsia="方正仿宋_GBK" w:cs="Times New Roman"/>
          <w:color w:val="000000"/>
          <w:spacing w:val="0"/>
          <w:sz w:val="32"/>
          <w:szCs w:val="32"/>
          <w:lang w:val="en-US" w:eastAsia="zh-CN"/>
        </w:rPr>
        <w:t>。</w:t>
      </w:r>
    </w:p>
    <w:p w14:paraId="155BF851">
      <w:pPr>
        <w:pStyle w:val="17"/>
        <w:keepNext w:val="0"/>
        <w:keepLines w:val="0"/>
        <w:pageBreakBefore w:val="0"/>
        <w:widowControl w:val="0"/>
        <w:kinsoku/>
        <w:wordWrap/>
        <w:overflowPunct/>
        <w:topLinePunct w:val="0"/>
        <w:autoSpaceDE/>
        <w:autoSpaceDN/>
        <w:bidi w:val="0"/>
        <w:adjustRightInd/>
        <w:spacing w:line="560" w:lineRule="exact"/>
        <w:ind w:firstLine="640" w:firstLineChars="200"/>
        <w:jc w:val="left"/>
        <w:rPr>
          <w:rFonts w:hint="default" w:ascii="Times New Roman" w:hAnsi="Times New Roman" w:eastAsia="方正黑体_GBK" w:cs="Times New Roman"/>
          <w:b w:val="0"/>
          <w:bCs w:val="0"/>
          <w:snapToGrid w:val="0"/>
          <w:color w:val="000000"/>
          <w:kern w:val="0"/>
          <w:sz w:val="32"/>
          <w:szCs w:val="32"/>
          <w:lang w:val="en-US" w:eastAsia="zh-CN" w:bidi="ar-SA"/>
        </w:rPr>
      </w:pPr>
      <w:r>
        <w:rPr>
          <w:rFonts w:hint="default" w:ascii="Times New Roman" w:hAnsi="Times New Roman" w:eastAsia="方正黑体_GBK" w:cs="Times New Roman"/>
          <w:b w:val="0"/>
          <w:bCs w:val="0"/>
          <w:snapToGrid w:val="0"/>
          <w:color w:val="000000"/>
          <w:kern w:val="0"/>
          <w:sz w:val="32"/>
          <w:szCs w:val="32"/>
          <w:lang w:val="en-US" w:eastAsia="zh-CN" w:bidi="ar-SA"/>
        </w:rPr>
        <w:t>四、公示说明</w:t>
      </w:r>
    </w:p>
    <w:p w14:paraId="6A8E4AF4">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hint="default" w:ascii="Times New Roman" w:hAnsi="Times New Roman" w:eastAsia="方正仿宋_GBK" w:cs="Times New Roman"/>
          <w:color w:val="000000"/>
          <w:spacing w:val="0"/>
          <w:sz w:val="32"/>
          <w:szCs w:val="32"/>
        </w:rPr>
      </w:pPr>
      <w:r>
        <w:rPr>
          <w:rFonts w:hint="eastAsia" w:ascii="Times New Roman" w:hAnsi="Times New Roman" w:eastAsia="方正仿宋_GBK" w:cs="Times New Roman"/>
          <w:color w:val="000000"/>
          <w:spacing w:val="0"/>
          <w:sz w:val="32"/>
          <w:szCs w:val="32"/>
          <w:lang w:eastAsia="zh-CN"/>
        </w:rPr>
        <w:t>1.</w:t>
      </w:r>
      <w:r>
        <w:rPr>
          <w:rFonts w:hint="default" w:ascii="Times New Roman" w:hAnsi="Times New Roman" w:eastAsia="方正仿宋_GBK" w:cs="Times New Roman"/>
          <w:color w:val="000000"/>
          <w:spacing w:val="0"/>
          <w:sz w:val="32"/>
          <w:szCs w:val="32"/>
        </w:rPr>
        <w:t>公示时间为202</w:t>
      </w:r>
      <w:r>
        <w:rPr>
          <w:rFonts w:hint="eastAsia" w:ascii="Times New Roman" w:hAnsi="Times New Roman" w:eastAsia="方正仿宋_GBK" w:cs="Times New Roman"/>
          <w:color w:val="000000"/>
          <w:spacing w:val="0"/>
          <w:sz w:val="32"/>
          <w:szCs w:val="32"/>
          <w:lang w:val="en-US" w:eastAsia="zh-CN"/>
        </w:rPr>
        <w:t>6</w:t>
      </w:r>
      <w:r>
        <w:rPr>
          <w:rFonts w:hint="default" w:ascii="Times New Roman" w:hAnsi="Times New Roman" w:eastAsia="方正仿宋_GBK" w:cs="Times New Roman"/>
          <w:color w:val="000000"/>
          <w:spacing w:val="0"/>
          <w:sz w:val="32"/>
          <w:szCs w:val="32"/>
        </w:rPr>
        <w:t>年</w:t>
      </w:r>
      <w:r>
        <w:rPr>
          <w:rFonts w:hint="eastAsia" w:ascii="Times New Roman" w:hAnsi="Times New Roman" w:eastAsia="方正仿宋_GBK" w:cs="Times New Roman"/>
          <w:color w:val="000000"/>
          <w:spacing w:val="0"/>
          <w:sz w:val="32"/>
          <w:szCs w:val="32"/>
          <w:lang w:val="en-US" w:eastAsia="zh-CN"/>
        </w:rPr>
        <w:t>9</w:t>
      </w:r>
      <w:r>
        <w:rPr>
          <w:rFonts w:hint="default" w:ascii="Times New Roman" w:hAnsi="Times New Roman" w:eastAsia="方正仿宋_GBK" w:cs="Times New Roman"/>
          <w:color w:val="000000"/>
          <w:spacing w:val="0"/>
          <w:sz w:val="32"/>
          <w:szCs w:val="32"/>
        </w:rPr>
        <w:t>月</w:t>
      </w:r>
      <w:r>
        <w:rPr>
          <w:rFonts w:hint="eastAsia" w:ascii="Times New Roman" w:hAnsi="Times New Roman" w:eastAsia="方正仿宋_GBK" w:cs="Times New Roman"/>
          <w:color w:val="000000"/>
          <w:spacing w:val="0"/>
          <w:sz w:val="32"/>
          <w:szCs w:val="32"/>
          <w:lang w:val="en-US" w:eastAsia="zh-CN"/>
        </w:rPr>
        <w:t>28</w:t>
      </w:r>
      <w:r>
        <w:rPr>
          <w:rFonts w:hint="default" w:ascii="Times New Roman" w:hAnsi="Times New Roman" w:eastAsia="方正仿宋_GBK" w:cs="Times New Roman"/>
          <w:color w:val="000000"/>
          <w:spacing w:val="0"/>
          <w:sz w:val="32"/>
          <w:szCs w:val="32"/>
        </w:rPr>
        <w:t>日—</w:t>
      </w:r>
      <w:r>
        <w:rPr>
          <w:rFonts w:hint="default" w:ascii="Times New Roman" w:hAnsi="Times New Roman" w:eastAsia="方正仿宋_GBK" w:cs="Times New Roman"/>
          <w:color w:val="000000"/>
          <w:spacing w:val="0"/>
          <w:sz w:val="32"/>
          <w:szCs w:val="32"/>
          <w:lang w:val="en-US" w:eastAsia="zh-CN"/>
        </w:rPr>
        <w:t>202</w:t>
      </w:r>
      <w:r>
        <w:rPr>
          <w:rFonts w:hint="eastAsia" w:ascii="Times New Roman" w:hAnsi="Times New Roman" w:eastAsia="方正仿宋_GBK" w:cs="Times New Roman"/>
          <w:color w:val="000000"/>
          <w:spacing w:val="0"/>
          <w:sz w:val="32"/>
          <w:szCs w:val="32"/>
          <w:lang w:val="en-US" w:eastAsia="zh-CN"/>
        </w:rPr>
        <w:t>6</w:t>
      </w:r>
      <w:r>
        <w:rPr>
          <w:rFonts w:hint="default" w:ascii="Times New Roman" w:hAnsi="Times New Roman" w:eastAsia="方正仿宋_GBK" w:cs="Times New Roman"/>
          <w:color w:val="000000"/>
          <w:spacing w:val="0"/>
          <w:sz w:val="32"/>
          <w:szCs w:val="32"/>
          <w:lang w:val="en-US" w:eastAsia="zh-CN"/>
        </w:rPr>
        <w:t>年</w:t>
      </w:r>
      <w:r>
        <w:rPr>
          <w:rFonts w:hint="eastAsia" w:ascii="Times New Roman" w:hAnsi="Times New Roman" w:eastAsia="方正仿宋_GBK" w:cs="Times New Roman"/>
          <w:color w:val="000000"/>
          <w:spacing w:val="0"/>
          <w:sz w:val="32"/>
          <w:szCs w:val="32"/>
          <w:lang w:val="en-US" w:eastAsia="zh-CN"/>
        </w:rPr>
        <w:t>10</w:t>
      </w:r>
      <w:r>
        <w:rPr>
          <w:rFonts w:hint="default" w:ascii="Times New Roman" w:hAnsi="Times New Roman" w:eastAsia="方正仿宋_GBK" w:cs="Times New Roman"/>
          <w:color w:val="000000"/>
          <w:spacing w:val="0"/>
          <w:sz w:val="32"/>
          <w:szCs w:val="32"/>
        </w:rPr>
        <w:t>月</w:t>
      </w:r>
      <w:r>
        <w:rPr>
          <w:rFonts w:hint="eastAsia" w:ascii="Times New Roman" w:hAnsi="Times New Roman" w:eastAsia="方正仿宋_GBK" w:cs="Times New Roman"/>
          <w:color w:val="000000"/>
          <w:spacing w:val="0"/>
          <w:sz w:val="32"/>
          <w:szCs w:val="32"/>
          <w:lang w:val="en-US" w:eastAsia="zh-CN"/>
        </w:rPr>
        <w:t>4</w:t>
      </w:r>
      <w:r>
        <w:rPr>
          <w:rFonts w:hint="default" w:ascii="Times New Roman" w:hAnsi="Times New Roman" w:eastAsia="方正仿宋_GBK" w:cs="Times New Roman"/>
          <w:color w:val="000000"/>
          <w:spacing w:val="0"/>
          <w:sz w:val="32"/>
          <w:szCs w:val="32"/>
        </w:rPr>
        <w:t>日。</w:t>
      </w:r>
    </w:p>
    <w:p w14:paraId="716CFB6A">
      <w:pPr>
        <w:keepNext w:val="0"/>
        <w:keepLines w:val="0"/>
        <w:pageBreakBefore w:val="0"/>
        <w:widowControl w:val="0"/>
        <w:kinsoku/>
        <w:wordWrap/>
        <w:overflowPunct/>
        <w:topLinePunct w:val="0"/>
        <w:autoSpaceDE/>
        <w:autoSpaceDN/>
        <w:bidi w:val="0"/>
        <w:adjustRightInd/>
        <w:snapToGrid/>
        <w:spacing w:line="560" w:lineRule="exact"/>
        <w:ind w:left="0" w:right="0" w:firstLine="640" w:firstLineChars="200"/>
        <w:jc w:val="left"/>
        <w:textAlignment w:val="auto"/>
        <w:rPr>
          <w:rFonts w:hint="default" w:ascii="Times New Roman" w:hAnsi="Times New Roman" w:eastAsia="方正仿宋_GBK" w:cs="Times New Roman"/>
          <w:spacing w:val="0"/>
          <w:sz w:val="32"/>
          <w:szCs w:val="32"/>
          <w:lang w:eastAsia="zh-CN"/>
        </w:rPr>
      </w:pPr>
      <w:r>
        <w:rPr>
          <w:rFonts w:hint="eastAsia" w:ascii="Times New Roman" w:hAnsi="Times New Roman" w:eastAsia="方正仿宋_GBK" w:cs="Times New Roman"/>
          <w:color w:val="000000"/>
          <w:spacing w:val="0"/>
          <w:sz w:val="32"/>
          <w:szCs w:val="32"/>
          <w:lang w:eastAsia="zh-CN"/>
        </w:rPr>
        <w:t>2.</w:t>
      </w:r>
      <w:r>
        <w:rPr>
          <w:rFonts w:hint="default" w:ascii="Times New Roman" w:hAnsi="Times New Roman" w:eastAsia="方正仿宋_GBK" w:cs="Times New Roman"/>
          <w:color w:val="000000"/>
          <w:spacing w:val="0"/>
          <w:sz w:val="32"/>
          <w:szCs w:val="32"/>
        </w:rPr>
        <w:t>本次公众意见可通过信函、传真等书面形式</w:t>
      </w:r>
      <w:r>
        <w:rPr>
          <w:rFonts w:hint="eastAsia" w:ascii="Times New Roman" w:hAnsi="Times New Roman" w:eastAsia="方正仿宋_GBK" w:cs="Times New Roman"/>
          <w:color w:val="000000"/>
          <w:spacing w:val="0"/>
          <w:sz w:val="32"/>
          <w:szCs w:val="32"/>
          <w:lang w:val="en-US" w:eastAsia="zh-CN"/>
        </w:rPr>
        <w:t>或到县</w:t>
      </w:r>
      <w:r>
        <w:rPr>
          <w:rFonts w:hint="default" w:ascii="Times New Roman" w:hAnsi="Times New Roman" w:eastAsia="方正仿宋_GBK" w:cs="Times New Roman"/>
          <w:color w:val="000000"/>
          <w:spacing w:val="0"/>
          <w:sz w:val="32"/>
          <w:szCs w:val="32"/>
          <w:lang w:val="en-US" w:eastAsia="zh-CN"/>
        </w:rPr>
        <w:t>自然资源局</w:t>
      </w:r>
      <w:r>
        <w:rPr>
          <w:rFonts w:hint="eastAsia" w:ascii="Times New Roman" w:hAnsi="Times New Roman" w:eastAsia="方正仿宋_GBK" w:cs="Times New Roman"/>
          <w:color w:val="000000"/>
          <w:spacing w:val="0"/>
          <w:sz w:val="32"/>
          <w:szCs w:val="32"/>
          <w:lang w:val="en-US" w:eastAsia="zh-CN"/>
        </w:rPr>
        <w:t>104办公室</w:t>
      </w:r>
      <w:r>
        <w:rPr>
          <w:rFonts w:hint="default" w:ascii="Times New Roman" w:hAnsi="Times New Roman" w:eastAsia="方正仿宋_GBK" w:cs="Times New Roman"/>
          <w:color w:val="000000"/>
          <w:spacing w:val="0"/>
          <w:sz w:val="32"/>
          <w:szCs w:val="32"/>
        </w:rPr>
        <w:t>。</w:t>
      </w:r>
    </w:p>
    <w:p w14:paraId="247E8B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eastAsia="zh-CN"/>
        </w:rPr>
        <w:t>地址：</w:t>
      </w:r>
      <w:r>
        <w:rPr>
          <w:rFonts w:hint="default" w:ascii="Times New Roman" w:hAnsi="Times New Roman" w:eastAsia="方正仿宋_GBK" w:cs="Times New Roman"/>
          <w:spacing w:val="0"/>
          <w:sz w:val="32"/>
          <w:szCs w:val="32"/>
          <w:lang w:val="en-US" w:eastAsia="zh-CN"/>
        </w:rPr>
        <w:t>和静县建设路988号自然</w:t>
      </w:r>
      <w:bookmarkStart w:id="21" w:name="_GoBack"/>
      <w:bookmarkEnd w:id="21"/>
      <w:r>
        <w:rPr>
          <w:rFonts w:hint="default" w:ascii="Times New Roman" w:hAnsi="Times New Roman" w:eastAsia="方正仿宋_GBK" w:cs="Times New Roman"/>
          <w:spacing w:val="0"/>
          <w:sz w:val="32"/>
          <w:szCs w:val="32"/>
          <w:lang w:val="en-US" w:eastAsia="zh-CN"/>
        </w:rPr>
        <w:t>资源局</w:t>
      </w:r>
    </w:p>
    <w:p w14:paraId="5120702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eastAsia="zh-CN"/>
        </w:rPr>
        <w:t>联系人：</w:t>
      </w:r>
      <w:r>
        <w:rPr>
          <w:rFonts w:hint="default" w:ascii="Times New Roman" w:hAnsi="Times New Roman" w:eastAsia="方正仿宋_GBK" w:cs="Times New Roman"/>
          <w:spacing w:val="0"/>
          <w:sz w:val="32"/>
          <w:szCs w:val="32"/>
          <w:lang w:val="en-US" w:eastAsia="zh-CN"/>
        </w:rPr>
        <w:t>王百虎</w:t>
      </w:r>
    </w:p>
    <w:p w14:paraId="6FC969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pacing w:val="0"/>
          <w:sz w:val="32"/>
          <w:szCs w:val="32"/>
          <w:lang w:val="en-US" w:eastAsia="zh-CN"/>
        </w:rPr>
      </w:pPr>
      <w:r>
        <w:rPr>
          <w:rFonts w:hint="default" w:ascii="Times New Roman" w:hAnsi="Times New Roman" w:eastAsia="方正仿宋_GBK" w:cs="Times New Roman"/>
          <w:spacing w:val="0"/>
          <w:sz w:val="32"/>
          <w:szCs w:val="32"/>
          <w:lang w:eastAsia="zh-CN"/>
        </w:rPr>
        <w:t>固定电话：</w:t>
      </w:r>
      <w:r>
        <w:rPr>
          <w:rFonts w:hint="default" w:ascii="Times New Roman" w:hAnsi="Times New Roman" w:eastAsia="方正仿宋_GBK" w:cs="Times New Roman"/>
          <w:spacing w:val="0"/>
          <w:sz w:val="32"/>
          <w:szCs w:val="32"/>
          <w:lang w:val="en-US" w:eastAsia="zh-CN"/>
        </w:rPr>
        <w:t>0996-5025378、5025815</w:t>
      </w:r>
    </w:p>
    <w:p w14:paraId="1713D730">
      <w:pPr>
        <w:pStyle w:val="20"/>
        <w:keepNext w:val="0"/>
        <w:keepLines w:val="0"/>
        <w:pageBreakBefore w:val="0"/>
        <w:tabs>
          <w:tab w:val="left" w:pos="768"/>
        </w:tabs>
        <w:wordWrap/>
        <w:overflowPunct/>
        <w:topLinePunct w:val="0"/>
        <w:bidi w:val="0"/>
        <w:spacing w:after="0" w:line="560" w:lineRule="exact"/>
        <w:ind w:firstLine="640" w:firstLineChars="200"/>
        <w:rPr>
          <w:rFonts w:hint="default" w:ascii="Times New Roman" w:hAnsi="Times New Roman" w:eastAsia="方正仿宋_GBK" w:cs="Times New Roman"/>
          <w:b w:val="0"/>
          <w:snapToGrid w:val="0"/>
          <w:color w:val="000000"/>
          <w:spacing w:val="0"/>
          <w:kern w:val="0"/>
          <w:sz w:val="32"/>
          <w:szCs w:val="32"/>
          <w:lang w:val="en-US" w:eastAsia="zh-CN" w:bidi="ar-SA"/>
        </w:rPr>
      </w:pPr>
      <w:r>
        <w:rPr>
          <w:rFonts w:hint="eastAsia" w:ascii="Times New Roman" w:hAnsi="Times New Roman" w:eastAsia="方正仿宋_GBK" w:cs="Times New Roman"/>
          <w:b w:val="0"/>
          <w:snapToGrid w:val="0"/>
          <w:color w:val="000000"/>
          <w:spacing w:val="0"/>
          <w:kern w:val="0"/>
          <w:sz w:val="32"/>
          <w:szCs w:val="32"/>
          <w:lang w:val="en-US" w:eastAsia="zh-CN" w:bidi="ar-SA"/>
        </w:rPr>
        <w:t>邮箱：1465238458@qq.com</w:t>
      </w:r>
    </w:p>
    <w:p w14:paraId="2CAAB5F9">
      <w:pPr>
        <w:keepNext w:val="0"/>
        <w:keepLines w:val="0"/>
        <w:pageBreakBefore w:val="0"/>
        <w:overflowPunct/>
        <w:topLinePunct w:val="0"/>
        <w:bidi w:val="0"/>
        <w:spacing w:line="560" w:lineRule="exact"/>
        <w:rPr>
          <w:rFonts w:hint="eastAsia"/>
          <w:lang w:val="en-US" w:eastAsia="zh-CN"/>
        </w:rPr>
      </w:pPr>
    </w:p>
    <w:p w14:paraId="5522CFF1">
      <w:pPr>
        <w:keepNext w:val="0"/>
        <w:keepLines w:val="0"/>
        <w:pageBreakBefore w:val="0"/>
        <w:widowControl w:val="0"/>
        <w:kinsoku/>
        <w:wordWrap/>
        <w:overflowPunct/>
        <w:topLinePunct w:val="0"/>
        <w:autoSpaceDE/>
        <w:autoSpaceDN/>
        <w:bidi w:val="0"/>
        <w:spacing w:line="560" w:lineRule="exact"/>
        <w:ind w:firstLine="0" w:firstLineChars="0"/>
        <w:jc w:val="left"/>
        <w:rPr>
          <w:rFonts w:hint="default" w:ascii="Times New Roman" w:hAnsi="Times New Roman" w:eastAsia="方正仿宋_GBK" w:cs="Times New Roman"/>
          <w:color w:val="000000"/>
          <w:sz w:val="32"/>
          <w:szCs w:val="32"/>
          <w:lang w:val="en-US" w:eastAsia="zh-CN"/>
        </w:rPr>
      </w:pPr>
    </w:p>
    <w:p w14:paraId="6564D6E6">
      <w:pPr>
        <w:keepNext w:val="0"/>
        <w:keepLines w:val="0"/>
        <w:pageBreakBefore w:val="0"/>
        <w:widowControl w:val="0"/>
        <w:kinsoku/>
        <w:wordWrap/>
        <w:overflowPunct/>
        <w:topLinePunct w:val="0"/>
        <w:autoSpaceDE/>
        <w:autoSpaceDN/>
        <w:bidi w:val="0"/>
        <w:spacing w:line="560" w:lineRule="exact"/>
        <w:ind w:firstLine="6080" w:firstLineChars="1900"/>
        <w:jc w:val="left"/>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和静县自然资源局</w:t>
      </w:r>
    </w:p>
    <w:p w14:paraId="207C64EA">
      <w:pPr>
        <w:keepNext w:val="0"/>
        <w:keepLines w:val="0"/>
        <w:pageBreakBefore w:val="0"/>
        <w:widowControl w:val="0"/>
        <w:kinsoku/>
        <w:wordWrap/>
        <w:overflowPunct/>
        <w:topLinePunct w:val="0"/>
        <w:autoSpaceDE/>
        <w:autoSpaceDN/>
        <w:bidi w:val="0"/>
        <w:spacing w:line="560" w:lineRule="exact"/>
        <w:ind w:firstLine="6080" w:firstLineChars="1900"/>
        <w:jc w:val="left"/>
        <w:rPr>
          <w:rFonts w:hint="default"/>
          <w:lang w:val="en-US" w:eastAsia="zh-CN"/>
        </w:rPr>
      </w:pPr>
      <w:r>
        <w:rPr>
          <w:rFonts w:hint="default" w:ascii="Times New Roman" w:hAnsi="Times New Roman" w:eastAsia="方正仿宋_GBK" w:cs="Times New Roman"/>
          <w:color w:val="000000"/>
          <w:sz w:val="32"/>
          <w:szCs w:val="32"/>
          <w:lang w:val="en-US" w:eastAsia="zh-CN"/>
        </w:rPr>
        <w:t>202</w:t>
      </w:r>
      <w:r>
        <w:rPr>
          <w:rFonts w:hint="eastAsia" w:ascii="Times New Roman" w:hAnsi="Times New Roman" w:eastAsia="方正仿宋_GBK" w:cs="Times New Roman"/>
          <w:color w:val="000000"/>
          <w:sz w:val="32"/>
          <w:szCs w:val="32"/>
          <w:lang w:val="en-US" w:eastAsia="zh-CN"/>
        </w:rPr>
        <w:t>6</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9</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28</w:t>
      </w:r>
      <w:r>
        <w:rPr>
          <w:rFonts w:hint="default" w:ascii="Times New Roman" w:hAnsi="Times New Roman" w:eastAsia="方正仿宋_GBK" w:cs="Times New Roman"/>
          <w:color w:val="000000"/>
          <w:sz w:val="32"/>
          <w:szCs w:val="32"/>
          <w:lang w:val="en-US" w:eastAsia="zh-CN"/>
        </w:rPr>
        <w:t>日</w:t>
      </w:r>
    </w:p>
    <w:p w14:paraId="37C1200D">
      <w:pPr>
        <w:pStyle w:val="13"/>
        <w:ind w:left="0" w:leftChars="0" w:firstLine="0" w:firstLineChars="0"/>
        <w:rPr>
          <w:rFonts w:hint="default"/>
          <w:lang w:val="en-US" w:eastAsia="zh-CN"/>
        </w:rPr>
      </w:pPr>
    </w:p>
    <w:p w14:paraId="24B64322">
      <w:pPr>
        <w:pStyle w:val="13"/>
        <w:ind w:left="0" w:leftChars="0" w:firstLine="0" w:firstLineChars="0"/>
        <w:rPr>
          <w:rFonts w:hint="default"/>
          <w:lang w:val="en-US" w:eastAsia="zh-CN"/>
        </w:rPr>
      </w:pPr>
    </w:p>
    <w:p w14:paraId="2AA4CF97">
      <w:pPr>
        <w:pStyle w:val="13"/>
        <w:ind w:left="0" w:leftChars="0" w:firstLine="0" w:firstLineChars="0"/>
        <w:rPr>
          <w:rFonts w:hint="default"/>
          <w:lang w:val="en-US" w:eastAsia="zh-CN"/>
        </w:rPr>
      </w:pPr>
    </w:p>
    <w:p w14:paraId="1764601E">
      <w:pPr>
        <w:pStyle w:val="13"/>
        <w:ind w:left="0" w:leftChars="0" w:firstLine="0" w:firstLineChars="0"/>
        <w:rPr>
          <w:rFonts w:hint="default"/>
          <w:lang w:val="en-US" w:eastAsia="zh-CN"/>
        </w:rPr>
      </w:pPr>
    </w:p>
    <w:p w14:paraId="6307BA3E">
      <w:pPr>
        <w:pStyle w:val="13"/>
        <w:ind w:left="0" w:leftChars="0" w:firstLine="0" w:firstLineChars="0"/>
        <w:rPr>
          <w:rFonts w:hint="default"/>
          <w:lang w:val="en-US" w:eastAsia="zh-CN"/>
        </w:rPr>
      </w:pPr>
    </w:p>
    <w:p w14:paraId="1D8EF6E3">
      <w:pPr>
        <w:pStyle w:val="13"/>
        <w:ind w:left="0" w:leftChars="0" w:firstLine="0" w:firstLineChars="0"/>
        <w:rPr>
          <w:rFonts w:hint="default"/>
          <w:lang w:val="en-US" w:eastAsia="zh-CN"/>
        </w:rPr>
      </w:pPr>
    </w:p>
    <w:p w14:paraId="43068968">
      <w:pPr>
        <w:pStyle w:val="13"/>
        <w:ind w:left="0" w:leftChars="0" w:firstLine="0" w:firstLineChars="0"/>
        <w:rPr>
          <w:rFonts w:hint="default"/>
          <w:lang w:val="en-US" w:eastAsia="zh-CN"/>
        </w:rPr>
      </w:pPr>
    </w:p>
    <w:p w14:paraId="593D443B">
      <w:pPr>
        <w:pStyle w:val="13"/>
        <w:ind w:left="0" w:leftChars="0" w:firstLine="0" w:firstLineChars="0"/>
        <w:rPr>
          <w:rFonts w:hint="default"/>
          <w:lang w:val="en-US" w:eastAsia="zh-CN"/>
        </w:rPr>
      </w:pPr>
    </w:p>
    <w:p w14:paraId="5B9F5C0A">
      <w:pPr>
        <w:pStyle w:val="13"/>
        <w:ind w:left="0" w:leftChars="0" w:firstLine="0" w:firstLineChars="0"/>
        <w:rPr>
          <w:rFonts w:hint="default"/>
          <w:lang w:val="en-US" w:eastAsia="zh-CN"/>
        </w:rPr>
      </w:pPr>
    </w:p>
    <w:p w14:paraId="5B15A2DD">
      <w:pPr>
        <w:pStyle w:val="13"/>
        <w:ind w:left="0" w:leftChars="0" w:firstLine="0" w:firstLineChars="0"/>
        <w:rPr>
          <w:rFonts w:hint="default"/>
          <w:lang w:val="en-US" w:eastAsia="zh-CN"/>
        </w:rPr>
      </w:pPr>
    </w:p>
    <w:p w14:paraId="63F81FBD">
      <w:pPr>
        <w:pStyle w:val="13"/>
        <w:ind w:left="0" w:leftChars="0" w:firstLine="0" w:firstLineChars="0"/>
        <w:rPr>
          <w:rFonts w:hint="default"/>
          <w:lang w:val="en-US" w:eastAsia="zh-CN"/>
        </w:rPr>
      </w:pPr>
    </w:p>
    <w:p w14:paraId="471783B2">
      <w:pPr>
        <w:pStyle w:val="13"/>
        <w:ind w:left="0" w:leftChars="0" w:firstLine="0" w:firstLineChars="0"/>
        <w:rPr>
          <w:rFonts w:hint="default"/>
          <w:lang w:val="en-US" w:eastAsia="zh-CN"/>
        </w:rPr>
      </w:pPr>
    </w:p>
    <w:p w14:paraId="0F8BEFEE">
      <w:pPr>
        <w:pStyle w:val="13"/>
        <w:ind w:left="0" w:leftChars="0" w:firstLine="0" w:firstLineChars="0"/>
        <w:rPr>
          <w:rFonts w:hint="default"/>
          <w:lang w:val="en-US" w:eastAsia="zh-CN"/>
        </w:rPr>
      </w:pPr>
    </w:p>
    <w:p w14:paraId="4A64C889">
      <w:pPr>
        <w:pStyle w:val="13"/>
        <w:ind w:left="0" w:leftChars="0" w:firstLine="0" w:firstLineChars="0"/>
        <w:rPr>
          <w:rFonts w:hint="default"/>
          <w:lang w:val="en-US" w:eastAsia="zh-CN"/>
        </w:rPr>
      </w:pPr>
    </w:p>
    <w:p w14:paraId="2EDC0D40">
      <w:pPr>
        <w:pStyle w:val="13"/>
        <w:ind w:left="0" w:leftChars="0" w:firstLine="0" w:firstLineChars="0"/>
        <w:rPr>
          <w:rFonts w:hint="default"/>
          <w:lang w:val="en-US" w:eastAsia="zh-CN"/>
        </w:rPr>
      </w:pPr>
    </w:p>
    <w:p w14:paraId="43B69700">
      <w:pPr>
        <w:pStyle w:val="13"/>
        <w:ind w:left="0" w:leftChars="0" w:firstLine="0" w:firstLineChars="0"/>
        <w:rPr>
          <w:rFonts w:hint="default"/>
          <w:lang w:val="en-US" w:eastAsia="zh-CN"/>
        </w:rPr>
      </w:pPr>
    </w:p>
    <w:p w14:paraId="4B257124">
      <w:pPr>
        <w:pStyle w:val="13"/>
        <w:ind w:left="0" w:leftChars="0" w:firstLine="0" w:firstLineChars="0"/>
        <w:rPr>
          <w:rFonts w:hint="default"/>
          <w:lang w:val="en-US" w:eastAsia="zh-CN"/>
        </w:rPr>
      </w:pPr>
    </w:p>
    <w:p w14:paraId="62D322BC">
      <w:pPr>
        <w:pStyle w:val="13"/>
        <w:ind w:left="0" w:leftChars="0" w:firstLine="0" w:firstLineChars="0"/>
        <w:rPr>
          <w:rFonts w:hint="default"/>
          <w:lang w:val="en-US" w:eastAsia="zh-CN"/>
        </w:rPr>
      </w:pPr>
    </w:p>
    <w:p w14:paraId="4B81F632">
      <w:pPr>
        <w:pStyle w:val="13"/>
        <w:ind w:left="0" w:leftChars="0" w:firstLine="0" w:firstLineChars="0"/>
        <w:rPr>
          <w:rFonts w:hint="default"/>
          <w:lang w:val="en-US" w:eastAsia="zh-CN"/>
        </w:rPr>
      </w:pPr>
    </w:p>
    <w:p w14:paraId="7DC65458">
      <w:pPr>
        <w:pStyle w:val="13"/>
        <w:ind w:left="0" w:leftChars="0" w:firstLine="0" w:firstLineChars="0"/>
        <w:rPr>
          <w:rFonts w:hint="default"/>
          <w:lang w:val="en-US" w:eastAsia="zh-CN"/>
        </w:rPr>
      </w:pPr>
    </w:p>
    <w:p w14:paraId="34FDDC60">
      <w:pPr>
        <w:spacing w:line="480" w:lineRule="exact"/>
        <w:ind w:right="-454" w:rightChars="-216" w:firstLine="210" w:firstLineChars="100"/>
        <w:rPr>
          <w:rFonts w:hint="default"/>
          <w:lang w:val="en-US" w:eastAsia="zh-CN"/>
        </w:rPr>
      </w:pPr>
      <w:r>
        <w:rPr>
          <w:rFonts w:hint="default" w:ascii="Times New Roman" w:hAnsi="Times New Roman" w:eastAsia="方正仿宋_GBK" w:cs="Times New Roman"/>
          <w:szCs w:val="32"/>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17145</wp:posOffset>
                </wp:positionV>
                <wp:extent cx="5615940" cy="0"/>
                <wp:effectExtent l="0" t="4445" r="0" b="5080"/>
                <wp:wrapNone/>
                <wp:docPr id="2" name="直线 4"/>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直线 4" o:spid="_x0000_s1026" o:spt="20" style="position:absolute;left:0pt;margin-left:-9pt;margin-top:1.35pt;height:0pt;width:442.2pt;z-index:251660288;mso-width-relative:page;mso-height-relative:page;" filled="f" stroked="t" coordsize="21600,21600" o:gfxdata="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3m9b1QAAAAcBAAAPAAAA&#10;AAAAAAEAIAAAACIAAABkcnMvZG93bnJldi54bWxQSwECFAAUAAAACACHTuJAX7EfX98BAADPAwAA&#10;DgAAAAAAAAABACAAAAAkAQAAZHJzL2Uyb0RvYy54bWxQSwUGAAAAAAYABgBZAQAAdQUAAAAA&#10;">
                <v:fill on="f" focussize="0,0"/>
                <v:stroke color="#000000" joinstyle="round"/>
                <v:imagedata o:title=""/>
                <o:lock v:ext="edit" aspectratio="f"/>
              </v:line>
            </w:pict>
          </mc:Fallback>
        </mc:AlternateContent>
      </w:r>
      <w:r>
        <w:rPr>
          <w:rFonts w:hint="default" w:ascii="Times New Roman" w:hAnsi="Times New Roman" w:eastAsia="方正仿宋_GBK" w:cs="Times New Roman"/>
          <w:sz w:val="28"/>
          <w:szCs w:val="28"/>
        </w:rPr>
        <mc:AlternateContent>
          <mc:Choice Requires="wps">
            <w:drawing>
              <wp:anchor distT="0" distB="0" distL="114300" distR="114300" simplePos="0" relativeHeight="251659264" behindDoc="0" locked="0" layoutInCell="1" allowOverlap="1">
                <wp:simplePos x="0" y="0"/>
                <wp:positionH relativeFrom="column">
                  <wp:posOffset>-114300</wp:posOffset>
                </wp:positionH>
                <wp:positionV relativeFrom="paragraph">
                  <wp:posOffset>301625</wp:posOffset>
                </wp:positionV>
                <wp:extent cx="5615940" cy="0"/>
                <wp:effectExtent l="0" t="4445" r="0" b="5080"/>
                <wp:wrapNone/>
                <wp:docPr id="1" name="Line 3"/>
                <wp:cNvGraphicFramePr/>
                <a:graphic xmlns:a="http://schemas.openxmlformats.org/drawingml/2006/main">
                  <a:graphicData uri="http://schemas.microsoft.com/office/word/2010/wordprocessingShape">
                    <wps:wsp>
                      <wps:cNvCnPr/>
                      <wps:spPr>
                        <a:xfrm>
                          <a:off x="0" y="0"/>
                          <a:ext cx="5615940"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Line 3" o:spid="_x0000_s1026" o:spt="20" style="position:absolute;left:0pt;margin-left:-9pt;margin-top:23.75pt;height:0pt;width:442.2pt;z-index:251659264;mso-width-relative:page;mso-height-relative:page;" filled="f" stroked="t" coordsize="21600,21600" o:gfxdata="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8enCDYAAAACQEAAA8AAAAAAAAAAQAgAAAA&#10;IgAAAGRycy9kb3ducmV2LnhtbFBLAQIUABQAAAAIAIdO4kDh2LmZ0gEAAM0DAAAOAAAAAAAAAAEA&#10;IAAAACcBAABkcnMvZTJvRG9jLnhtbFBLBQYAAAAABgAGAFkBAABrBQAAAAA=&#10;">
                <v:fill on="f" focussize="0,0"/>
                <v:stroke color="#000000" joinstyle="round"/>
                <v:imagedata o:title=""/>
                <o:lock v:ext="edit" aspectratio="f"/>
              </v:line>
            </w:pict>
          </mc:Fallback>
        </mc:AlternateContent>
      </w:r>
      <w:r>
        <w:rPr>
          <w:rFonts w:hint="default" w:ascii="Times New Roman" w:hAnsi="Times New Roman" w:eastAsia="方正仿宋_GBK" w:cs="Times New Roman"/>
          <w:sz w:val="28"/>
          <w:szCs w:val="28"/>
        </w:rPr>
        <w:t>和静县自然资源局办公室                202</w:t>
      </w:r>
      <w:r>
        <w:rPr>
          <w:rFonts w:hint="eastAsia" w:ascii="Times New Roman" w:hAnsi="Times New Roman" w:eastAsia="方正仿宋_GBK" w:cs="Times New Roman"/>
          <w:sz w:val="28"/>
          <w:szCs w:val="28"/>
          <w:lang w:val="en-US" w:eastAsia="zh-CN"/>
        </w:rPr>
        <w:t>6</w:t>
      </w:r>
      <w:r>
        <w:rPr>
          <w:rFonts w:hint="default" w:ascii="Times New Roman" w:hAnsi="Times New Roman" w:eastAsia="方正仿宋_GBK" w:cs="Times New Roman"/>
          <w:sz w:val="28"/>
          <w:szCs w:val="28"/>
        </w:rPr>
        <w:t>年</w:t>
      </w:r>
      <w:r>
        <w:rPr>
          <w:rFonts w:hint="eastAsia" w:ascii="Times New Roman" w:hAnsi="Times New Roman" w:eastAsia="方正仿宋_GBK" w:cs="Times New Roman"/>
          <w:sz w:val="28"/>
          <w:szCs w:val="28"/>
          <w:lang w:val="en-US" w:eastAsia="zh-CN"/>
        </w:rPr>
        <w:t>9</w:t>
      </w:r>
      <w:r>
        <w:rPr>
          <w:rFonts w:hint="default" w:ascii="Times New Roman" w:hAnsi="Times New Roman" w:eastAsia="方正仿宋_GBK" w:cs="Times New Roman"/>
          <w:sz w:val="28"/>
          <w:szCs w:val="28"/>
        </w:rPr>
        <w:t>月</w:t>
      </w:r>
      <w:r>
        <w:rPr>
          <w:rFonts w:hint="eastAsia" w:ascii="Times New Roman" w:hAnsi="Times New Roman" w:eastAsia="方正仿宋_GBK" w:cs="Times New Roman"/>
          <w:sz w:val="28"/>
          <w:szCs w:val="28"/>
          <w:lang w:val="en-US" w:eastAsia="zh-CN"/>
        </w:rPr>
        <w:t>28</w:t>
      </w:r>
      <w:r>
        <w:rPr>
          <w:rFonts w:hint="default" w:ascii="Times New Roman" w:hAnsi="Times New Roman" w:eastAsia="方正仿宋_GBK" w:cs="Times New Roman"/>
          <w:sz w:val="28"/>
          <w:szCs w:val="28"/>
        </w:rPr>
        <w:t xml:space="preserve">日印发 </w:t>
      </w:r>
    </w:p>
    <w:bookmarkEnd w:id="19"/>
    <w:bookmarkEnd w:id="20"/>
    <w:p w14:paraId="676241E3">
      <w:pPr>
        <w:keepNext w:val="0"/>
        <w:keepLines w:val="0"/>
        <w:pageBreakBefore w:val="0"/>
        <w:widowControl/>
        <w:kinsoku w:val="0"/>
        <w:wordWrap/>
        <w:overflowPunct/>
        <w:topLinePunct w:val="0"/>
        <w:autoSpaceDE w:val="0"/>
        <w:autoSpaceDN w:val="0"/>
        <w:bidi w:val="0"/>
        <w:adjustRightInd w:val="0"/>
        <w:snapToGrid w:val="0"/>
        <w:spacing w:line="20" w:lineRule="exact"/>
        <w:ind w:right="-454" w:rightChars="-216"/>
        <w:textAlignment w:val="baseline"/>
        <w:rPr>
          <w:rFonts w:hint="eastAsia" w:ascii="Times New Roman" w:hAnsi="Times New Roman" w:eastAsia="方正仿宋_GBK" w:cs="Times New Roman"/>
          <w:sz w:val="28"/>
          <w:szCs w:val="28"/>
          <w:lang w:val="en-US" w:eastAsia="zh-CN"/>
        </w:rPr>
      </w:pPr>
    </w:p>
    <w:sectPr>
      <w:headerReference r:id="rId5" w:type="default"/>
      <w:footerReference r:id="rId6" w:type="default"/>
      <w:pgSz w:w="11906" w:h="16838"/>
      <w:pgMar w:top="1871" w:right="1531" w:bottom="1984" w:left="1531" w:header="851" w:footer="992" w:gutter="0"/>
      <w:pgBorders>
        <w:top w:val="none" w:sz="0" w:space="0"/>
        <w:left w:val="none" w:sz="0" w:space="0"/>
        <w:bottom w:val="none" w:sz="0" w:space="0"/>
        <w:right w:val="none" w:sz="0" w:space="0"/>
      </w:pgBorders>
      <w:pgNumType w:fmt="decimal"/>
      <w:cols w:space="0" w:num="1"/>
      <w:rtlGutter w:val="0"/>
      <w:docGrid w:linePitch="59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074BAB48-A356-44A7-9F80-AD7AED3A1939}"/>
  </w:font>
  <w:font w:name="Cambria">
    <w:panose1 w:val="02040503050406030204"/>
    <w:charset w:val="00"/>
    <w:family w:val="roman"/>
    <w:pitch w:val="default"/>
    <w:sig w:usb0="E00002FF" w:usb1="400004FF" w:usb2="00000000" w:usb3="00000000" w:csb0="2000019F"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embedRegular r:id="rId2" w:fontKey="{DC334168-76AF-4D17-8AF2-5AEF3D99D377}"/>
  </w:font>
  <w:font w:name="方正仿宋_GBK">
    <w:panose1 w:val="03000509000000000000"/>
    <w:charset w:val="86"/>
    <w:family w:val="auto"/>
    <w:pitch w:val="default"/>
    <w:sig w:usb0="00000001" w:usb1="080E0000" w:usb2="00000000" w:usb3="00000000" w:csb0="00040000" w:csb1="00000000"/>
    <w:embedRegular r:id="rId3" w:fontKey="{32C571A3-CB45-4544-8022-46182D439C92}"/>
  </w:font>
  <w:font w:name="方正黑体_GBK">
    <w:panose1 w:val="03000509000000000000"/>
    <w:charset w:val="86"/>
    <w:family w:val="auto"/>
    <w:pitch w:val="default"/>
    <w:sig w:usb0="00000001" w:usb1="080E0000" w:usb2="00000000" w:usb3="00000000" w:csb0="00040000" w:csb1="00000000"/>
    <w:embedRegular r:id="rId4" w:fontKey="{4086BABE-3C7A-40A4-BBDB-F4A3D94C67EA}"/>
  </w:font>
  <w:font w:name="方正楷体_GBK">
    <w:panose1 w:val="03000509000000000000"/>
    <w:charset w:val="86"/>
    <w:family w:val="auto"/>
    <w:pitch w:val="default"/>
    <w:sig w:usb0="00000001" w:usb1="080E0000" w:usb2="00000000" w:usb3="00000000" w:csb0="00040000" w:csb1="00000000"/>
    <w:embedRegular r:id="rId5" w:fontKey="{C5FE721D-5B64-4B5B-B89D-7169CC1D7B86}"/>
  </w:font>
  <w:font w:name="仿宋">
    <w:panose1 w:val="02010609060101010101"/>
    <w:charset w:val="86"/>
    <w:family w:val="modern"/>
    <w:pitch w:val="default"/>
    <w:sig w:usb0="800002BF" w:usb1="38CF7CFA" w:usb2="00000016" w:usb3="00000000" w:csb0="00040001" w:csb1="00000000"/>
    <w:embedRegular r:id="rId6" w:fontKey="{FD6111F9-959A-444F-B85B-ECB398D2F8C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873D40">
    <w:pPr>
      <w:pStyle w:val="8"/>
      <w:kinsoku/>
      <w:autoSpaceDE/>
      <w:autoSpaceDN/>
      <w:adjustRightInd/>
      <w:spacing w:line="240" w:lineRule="auto"/>
      <w:jc w:val="center"/>
      <w:textAlignment w:val="auto"/>
      <w:rPr>
        <w:rFonts w:ascii="Times New Roman" w:hAnsi="Times New Roman" w:eastAsia="宋体" w:cs="Times New Roman"/>
        <w:snapToGrid/>
        <w:sz w:val="21"/>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30E74">
    <w:pPr>
      <w:pStyle w:val="9"/>
      <w:pBdr>
        <w:bottom w:val="none" w:color="auto" w:sz="0" w:space="1"/>
      </w:pBdr>
      <w:kinsoku/>
      <w:autoSpaceDE/>
      <w:autoSpaceDN/>
      <w:adjustRightInd/>
      <w:spacing w:line="240" w:lineRule="auto"/>
      <w:textAlignment w:val="auto"/>
      <w:rPr>
        <w:rFonts w:ascii="Times New Roman" w:hAnsi="Times New Roman" w:eastAsia="宋体" w:cs="Times New Roman"/>
        <w:snapToGrid/>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1"/>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FlZjU4MDViY2MwY2MzNzgyYmYxZjIxMzUzZTlmMmYifQ=="/>
  </w:docVars>
  <w:rsids>
    <w:rsidRoot w:val="3A7C2A74"/>
    <w:rsid w:val="04272E41"/>
    <w:rsid w:val="061E3DB6"/>
    <w:rsid w:val="0A1D7496"/>
    <w:rsid w:val="0A8C2E5F"/>
    <w:rsid w:val="1ABB0114"/>
    <w:rsid w:val="1B256297"/>
    <w:rsid w:val="1BAB4638"/>
    <w:rsid w:val="1BDA4AC1"/>
    <w:rsid w:val="236E1FE0"/>
    <w:rsid w:val="24512859"/>
    <w:rsid w:val="245E0E58"/>
    <w:rsid w:val="25FF3A45"/>
    <w:rsid w:val="262348C9"/>
    <w:rsid w:val="27BD701C"/>
    <w:rsid w:val="2B6A5A2B"/>
    <w:rsid w:val="2B6A5CC1"/>
    <w:rsid w:val="2CCC6994"/>
    <w:rsid w:val="2D247068"/>
    <w:rsid w:val="2E530CBA"/>
    <w:rsid w:val="2F885F1B"/>
    <w:rsid w:val="30E32136"/>
    <w:rsid w:val="31434890"/>
    <w:rsid w:val="33510B63"/>
    <w:rsid w:val="34AF4725"/>
    <w:rsid w:val="358B6F41"/>
    <w:rsid w:val="39DA612C"/>
    <w:rsid w:val="3A7C2A74"/>
    <w:rsid w:val="3A970057"/>
    <w:rsid w:val="3E7105D4"/>
    <w:rsid w:val="415229BC"/>
    <w:rsid w:val="42D706C5"/>
    <w:rsid w:val="435249BE"/>
    <w:rsid w:val="44177A69"/>
    <w:rsid w:val="4BC77D57"/>
    <w:rsid w:val="4C970180"/>
    <w:rsid w:val="4D45010E"/>
    <w:rsid w:val="4DEB74D1"/>
    <w:rsid w:val="539A5486"/>
    <w:rsid w:val="54CC7451"/>
    <w:rsid w:val="56A52A41"/>
    <w:rsid w:val="57DE5FF4"/>
    <w:rsid w:val="59017E51"/>
    <w:rsid w:val="592F5306"/>
    <w:rsid w:val="616C02BC"/>
    <w:rsid w:val="675D43F3"/>
    <w:rsid w:val="6A293A8A"/>
    <w:rsid w:val="6B2F1C72"/>
    <w:rsid w:val="6C19633D"/>
    <w:rsid w:val="6CD71698"/>
    <w:rsid w:val="6FF77132"/>
    <w:rsid w:val="7037282D"/>
    <w:rsid w:val="75FD4F4A"/>
    <w:rsid w:val="791D5FA2"/>
    <w:rsid w:val="79744B10"/>
    <w:rsid w:val="79D7274E"/>
    <w:rsid w:val="7AB51C94"/>
    <w:rsid w:val="7B73403A"/>
    <w:rsid w:val="7C6E6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9"/>
    <w:pPr>
      <w:keepNext/>
      <w:keepLines/>
      <w:spacing w:before="260" w:after="260" w:line="416" w:lineRule="auto"/>
      <w:outlineLvl w:val="1"/>
    </w:pPr>
    <w:rPr>
      <w:rFonts w:ascii="Cambria" w:hAnsi="Cambria"/>
      <w:b/>
      <w:bCs/>
      <w:kern w:val="0"/>
      <w:sz w:val="32"/>
      <w:szCs w:val="32"/>
    </w:rPr>
  </w:style>
  <w:style w:type="paragraph" w:styleId="3">
    <w:name w:val="heading 4"/>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spacing w:line="360" w:lineRule="auto"/>
      <w:ind w:firstLine="420"/>
    </w:pPr>
    <w:rPr>
      <w:rFonts w:ascii="方正仿宋简体" w:hAnsi="方正仿宋简体" w:eastAsia="方正仿宋简体"/>
      <w:szCs w:val="20"/>
    </w:rPr>
  </w:style>
  <w:style w:type="paragraph" w:styleId="5">
    <w:name w:val="Body Text"/>
    <w:basedOn w:val="1"/>
    <w:qFormat/>
    <w:uiPriority w:val="0"/>
    <w:pPr>
      <w:spacing w:after="120"/>
    </w:pPr>
  </w:style>
  <w:style w:type="paragraph" w:styleId="6">
    <w:name w:val="Body Text Indent"/>
    <w:qFormat/>
    <w:uiPriority w:val="0"/>
    <w:pPr>
      <w:widowControl w:val="0"/>
      <w:spacing w:after="120"/>
      <w:ind w:left="420" w:leftChars="200"/>
      <w:jc w:val="both"/>
    </w:pPr>
    <w:rPr>
      <w:rFonts w:ascii="Times New Roman" w:hAnsi="Times New Roman" w:eastAsia="宋体" w:cs="Times New Roman"/>
      <w:kern w:val="2"/>
      <w:sz w:val="24"/>
      <w:szCs w:val="24"/>
      <w:lang w:val="en-US" w:eastAsia="zh-CN" w:bidi="ar-SA"/>
    </w:rPr>
  </w:style>
  <w:style w:type="paragraph" w:styleId="7">
    <w:name w:val="Plain Text"/>
    <w:basedOn w:val="1"/>
    <w:qFormat/>
    <w:uiPriority w:val="0"/>
    <w:rPr>
      <w:rFonts w:ascii="宋体" w:hAnsi="Courier New" w:cs="Courier New"/>
      <w:szCs w:val="21"/>
    </w:rPr>
  </w:style>
  <w:style w:type="paragraph" w:styleId="8">
    <w:name w:val="footer"/>
    <w:basedOn w:val="1"/>
    <w:unhideWhenUsed/>
    <w:qFormat/>
    <w:uiPriority w:val="99"/>
    <w:pPr>
      <w:widowControl w:val="0"/>
      <w:tabs>
        <w:tab w:val="center" w:pos="4153"/>
        <w:tab w:val="right" w:pos="8306"/>
      </w:tabs>
      <w:snapToGrid w:val="0"/>
      <w:jc w:val="left"/>
    </w:pPr>
    <w:rPr>
      <w:rFonts w:ascii="Times New Roman" w:hAnsi="Times New Roman" w:eastAsia="宋体" w:cs="Times New Roman"/>
      <w:kern w:val="0"/>
      <w:sz w:val="18"/>
      <w:szCs w:val="18"/>
      <w:lang w:val="en-US" w:eastAsia="zh-CN" w:bidi="ar-SA"/>
    </w:rPr>
  </w:style>
  <w:style w:type="paragraph" w:styleId="9">
    <w:name w:val="header"/>
    <w:basedOn w:val="1"/>
    <w:unhideWhenUsed/>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18"/>
      <w:lang w:val="en-US" w:eastAsia="zh-CN" w:bidi="ar-SA"/>
    </w:rPr>
  </w:style>
  <w:style w:type="paragraph" w:styleId="10">
    <w:name w:val="Body Text First Indent 2"/>
    <w:qFormat/>
    <w:uiPriority w:val="0"/>
    <w:pPr>
      <w:widowControl w:val="0"/>
      <w:tabs>
        <w:tab w:val="decimal" w:pos="0"/>
      </w:tabs>
      <w:spacing w:after="120" w:afterLines="0" w:line="240" w:lineRule="auto"/>
      <w:ind w:left="420" w:leftChars="200" w:firstLine="420" w:firstLineChars="200"/>
      <w:jc w:val="both"/>
    </w:pPr>
    <w:rPr>
      <w:rFonts w:ascii="Times New Roman" w:hAnsi="Times New Roman" w:eastAsia="宋体" w:cs="Times New Roman"/>
      <w:spacing w:val="0"/>
      <w:kern w:val="2"/>
      <w:sz w:val="21"/>
      <w:szCs w:val="24"/>
      <w:lang w:val="en-US" w:eastAsia="zh-CN" w:bidi="ar-SA"/>
    </w:rPr>
  </w:style>
  <w:style w:type="paragraph" w:customStyle="1" w:styleId="13">
    <w:name w:val="BodyText1I"/>
    <w:basedOn w:val="14"/>
    <w:qFormat/>
    <w:uiPriority w:val="0"/>
    <w:pPr>
      <w:ind w:firstLine="420" w:firstLineChars="100"/>
    </w:pPr>
    <w:rPr>
      <w:sz w:val="28"/>
      <w:szCs w:val="20"/>
    </w:rPr>
  </w:style>
  <w:style w:type="paragraph" w:customStyle="1" w:styleId="14">
    <w:name w:val="BodyText"/>
    <w:basedOn w:val="1"/>
    <w:qFormat/>
    <w:uiPriority w:val="0"/>
    <w:pPr>
      <w:spacing w:after="120"/>
    </w:pPr>
    <w:rPr>
      <w:szCs w:val="21"/>
    </w:rPr>
  </w:style>
  <w:style w:type="paragraph" w:customStyle="1" w:styleId="15">
    <w:name w:val="Table Text"/>
    <w:basedOn w:val="1"/>
    <w:semiHidden/>
    <w:qFormat/>
    <w:uiPriority w:val="0"/>
    <w:rPr>
      <w:rFonts w:ascii="宋体" w:hAnsi="宋体" w:eastAsia="宋体" w:cs="宋体"/>
      <w:sz w:val="22"/>
      <w:szCs w:val="22"/>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x正文"/>
    <w:qFormat/>
    <w:uiPriority w:val="0"/>
    <w:pPr>
      <w:widowControl w:val="0"/>
      <w:autoSpaceDE w:val="0"/>
      <w:autoSpaceDN w:val="0"/>
      <w:snapToGrid w:val="0"/>
      <w:spacing w:line="360" w:lineRule="auto"/>
      <w:ind w:firstLine="200" w:firstLineChars="200"/>
      <w:jc w:val="both"/>
      <w:textAlignment w:val="center"/>
    </w:pPr>
    <w:rPr>
      <w:rFonts w:ascii="Times New Roman" w:hAnsi="Times New Roman" w:eastAsia="仿宋_GB2312" w:cs="宋体"/>
      <w:sz w:val="24"/>
      <w:szCs w:val="24"/>
      <w:lang w:val="en-US" w:eastAsia="zh-CN" w:bidi="ar-SA"/>
    </w:rPr>
  </w:style>
  <w:style w:type="paragraph" w:customStyle="1" w:styleId="18">
    <w:name w:val="报告正文"/>
    <w:qFormat/>
    <w:uiPriority w:val="0"/>
    <w:pPr>
      <w:widowControl w:val="0"/>
      <w:adjustRightInd w:val="0"/>
      <w:snapToGrid w:val="0"/>
      <w:spacing w:line="300" w:lineRule="auto"/>
      <w:jc w:val="both"/>
    </w:pPr>
    <w:rPr>
      <w:rFonts w:ascii="宋体" w:hAnsi="Times New Roman" w:eastAsia="宋体" w:cs="Times New Roman"/>
      <w:kern w:val="2"/>
      <w:sz w:val="28"/>
      <w:szCs w:val="20"/>
      <w:lang w:val="en-US" w:eastAsia="zh-CN" w:bidi="ar-SA"/>
    </w:rPr>
  </w:style>
  <w:style w:type="paragraph" w:customStyle="1" w:styleId="19">
    <w:name w:val="Table Paragraph"/>
    <w:basedOn w:val="1"/>
    <w:qFormat/>
    <w:uiPriority w:val="1"/>
    <w:pPr>
      <w:jc w:val="center"/>
    </w:pPr>
    <w:rPr>
      <w:rFonts w:ascii="宋体" w:hAnsi="宋体" w:eastAsia="宋体" w:cs="宋体"/>
      <w:lang w:val="en-US" w:eastAsia="zh-CN" w:bidi="ar-SA"/>
    </w:rPr>
  </w:style>
  <w:style w:type="paragraph" w:customStyle="1" w:styleId="20">
    <w:name w:val="Char"/>
    <w:basedOn w:val="1"/>
    <w:qFormat/>
    <w:uiPriority w:val="99"/>
    <w:pPr>
      <w:widowControl/>
      <w:spacing w:after="160" w:line="240" w:lineRule="exact"/>
      <w:jc w:val="left"/>
    </w:pPr>
    <w:rPr>
      <w:rFonts w:ascii="Arial" w:hAnsi="Arial" w:cs="Verdana"/>
      <w:b/>
      <w:kern w:val="0"/>
      <w:sz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2501fc8f-03ad-407e-bedb-57b22553b82a</errorID>
      <errorWord>-</errorWord>
      <group>L1_Format</group>
      <groupName>格式问题</groupName>
      <ability>L2_HalfPunc_CN</ability>
      <abilityName>全半角问题</abilityName>
      <candidateList>
        <item>－</item>
      </candidateList>
      <explain>文本全半角错误。</explain>
      <paraID>3C0326B0</paraID>
      <start>225</start>
      <end>226</end>
      <status>modified</status>
      <modifiedWord>－</modifiedWord>
      <trackRevisions>false</trackRevisions>
    </reviewItem>
    <reviewItem>
      <errorID>f13baaa0-261f-4f3d-86d5-88c8bd4e7872</errorID>
      <errorWord>-</errorWord>
      <group>L1_Format</group>
      <groupName>格式问题</groupName>
      <ability>L2_HalfPunc_CN</ability>
      <abilityName>全半角问题</abilityName>
      <candidateList>
        <item>－</item>
      </candidateList>
      <explain>文本全半角错误。</explain>
      <paraID>5B44C804</paraID>
      <start>17</start>
      <end>18</end>
      <status>modified</status>
      <modifiedWord>－</modifiedWord>
      <trackRevisions>false</trackRevisions>
    </reviewItem>
    <reviewItem>
      <errorID>f12ea61b-3a68-4908-8ab2-264426fe593e</errorID>
      <errorWord>》</errorWord>
      <group>L1_Word</group>
      <groupName>字词问题</groupName>
      <ability>L2_Typo</ability>
      <abilityName>字词错误</abilityName>
      <candidateList>
        <item>》和</item>
      </candidateList>
      <explain/>
      <paraID>15269F9E</paraID>
      <start>65</start>
      <end>66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2ee736-9646-42ce-9a86-088ea4027074}">
  <ds:schemaRefs/>
</ds:datastoreItem>
</file>

<file path=docProps/app.xml><?xml version="1.0" encoding="utf-8"?>
<Properties xmlns="http://schemas.openxmlformats.org/officeDocument/2006/extended-properties" xmlns:vt="http://schemas.openxmlformats.org/officeDocument/2006/docPropsVTypes">
  <Template>Normal.dotm</Template>
  <Pages>6</Pages>
  <Words>2296</Words>
  <Characters>2733</Characters>
  <Lines>0</Lines>
  <Paragraphs>0</Paragraphs>
  <TotalTime>33</TotalTime>
  <ScaleCrop>false</ScaleCrop>
  <LinksUpToDate>false</LinksUpToDate>
  <CharactersWithSpaces>2751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2024-08-22T03:10:00Z</dcterms:created>
  <dc:creator></dc:creator>
  <cp:lastModifiedBy>觉伦图尔根</cp:lastModifiedBy>
  <cp:lastPrinted>2026-09-28T09:20:00Z</cp:lastPrinted>
  <dcterms:modified xsi:type="dcterms:W3CDTF">2026-09-28T09:39:10Z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90D6D2D8BF3E44BCA5679579AE134C3C_13</vt:lpwstr>
  </property>
  <property fmtid="{D5CDD505-2E9C-101B-9397-08002B2CF9AE}" pid="4" name="KSOTemplateDocerSaveRecord">
    <vt:lpwstr>eyJoZGlkIjoiMzI0OWRiMTZiMzRmNjNlMGUwZWQ4OTZmMWRjYmExZDUiLCJ1c2VySWQiOiI1MDE5NjM2MjYifQ==</vt:lpwstr>
  </property>
</Properties>
</file>